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21CB2" w14:textId="2F58E628" w:rsidR="00093F52" w:rsidRPr="00195F7D" w:rsidRDefault="0080630C" w:rsidP="00AF458D">
      <w:pPr>
        <w:spacing w:after="80" w:line="300" w:lineRule="auto"/>
        <w:rPr>
          <w:rFonts w:cs="Arial"/>
          <w:b/>
          <w:bCs/>
          <w:sz w:val="40"/>
          <w:szCs w:val="40"/>
        </w:rPr>
      </w:pPr>
      <w:r w:rsidRPr="00195F7D">
        <w:rPr>
          <w:rFonts w:cs="Arial"/>
          <w:b/>
          <w:bCs/>
          <w:sz w:val="40"/>
          <w:szCs w:val="40"/>
        </w:rPr>
        <w:t>T</w:t>
      </w:r>
      <w:r w:rsidR="00093F52" w:rsidRPr="00195F7D">
        <w:rPr>
          <w:rFonts w:cs="Arial"/>
          <w:b/>
          <w:bCs/>
          <w:sz w:val="40"/>
          <w:szCs w:val="40"/>
        </w:rPr>
        <w:t>hird Sector Trends in England and Wales 2025</w:t>
      </w:r>
    </w:p>
    <w:p w14:paraId="58F1EA77" w14:textId="7AF5336D" w:rsidR="0080630C" w:rsidRPr="00195F7D" w:rsidRDefault="0080630C" w:rsidP="00AF458D">
      <w:pPr>
        <w:spacing w:after="80" w:line="300" w:lineRule="auto"/>
        <w:rPr>
          <w:rFonts w:cs="Arial"/>
          <w:b/>
          <w:bCs/>
          <w:sz w:val="32"/>
          <w:szCs w:val="32"/>
          <w:u w:val="single"/>
        </w:rPr>
      </w:pPr>
      <w:r w:rsidRPr="00195F7D">
        <w:rPr>
          <w:rFonts w:cs="Arial"/>
          <w:b/>
          <w:bCs/>
          <w:sz w:val="32"/>
          <w:szCs w:val="32"/>
          <w:u w:val="single"/>
        </w:rPr>
        <w:t>PRESS RELEASE</w:t>
      </w:r>
    </w:p>
    <w:p w14:paraId="53BCC79F" w14:textId="1E0A3C21" w:rsidR="0080630C" w:rsidRPr="00195F7D" w:rsidRDefault="0080630C" w:rsidP="00AF458D">
      <w:pPr>
        <w:spacing w:after="80" w:line="300" w:lineRule="auto"/>
        <w:rPr>
          <w:rFonts w:cs="Arial"/>
          <w:b/>
          <w:bCs/>
        </w:rPr>
      </w:pPr>
      <w:r w:rsidRPr="00195F7D">
        <w:rPr>
          <w:rFonts w:cs="Arial"/>
          <w:b/>
          <w:bCs/>
        </w:rPr>
        <w:t xml:space="preserve">Embargoed </w:t>
      </w:r>
      <w:r w:rsidR="00A5423D" w:rsidRPr="00195F7D">
        <w:rPr>
          <w:rFonts w:cs="Arial"/>
          <w:b/>
          <w:bCs/>
        </w:rPr>
        <w:t xml:space="preserve">Thursday </w:t>
      </w:r>
      <w:r w:rsidR="00195F7D" w:rsidRPr="00195F7D">
        <w:rPr>
          <w:rFonts w:cs="Arial"/>
          <w:b/>
          <w:bCs/>
        </w:rPr>
        <w:t>15</w:t>
      </w:r>
      <w:r w:rsidR="00000BD0" w:rsidRPr="00195F7D">
        <w:rPr>
          <w:rFonts w:cs="Arial"/>
          <w:b/>
          <w:bCs/>
          <w:vertAlign w:val="superscript"/>
        </w:rPr>
        <w:t>th</w:t>
      </w:r>
      <w:r w:rsidR="00000BD0" w:rsidRPr="00195F7D">
        <w:rPr>
          <w:rFonts w:cs="Arial"/>
          <w:b/>
          <w:bCs/>
        </w:rPr>
        <w:t xml:space="preserve"> </w:t>
      </w:r>
      <w:r w:rsidR="00195F7D" w:rsidRPr="00195F7D">
        <w:rPr>
          <w:rFonts w:cs="Arial"/>
          <w:b/>
          <w:bCs/>
        </w:rPr>
        <w:t xml:space="preserve">January </w:t>
      </w:r>
      <w:r w:rsidRPr="00195F7D">
        <w:rPr>
          <w:rFonts w:cs="Arial"/>
          <w:b/>
          <w:bCs/>
        </w:rPr>
        <w:t>202</w:t>
      </w:r>
      <w:r w:rsidR="00195F7D" w:rsidRPr="00195F7D">
        <w:rPr>
          <w:rFonts w:cs="Arial"/>
          <w:b/>
          <w:bCs/>
        </w:rPr>
        <w:t>6</w:t>
      </w:r>
      <w:r w:rsidRPr="00195F7D">
        <w:rPr>
          <w:rFonts w:cs="Arial"/>
          <w:b/>
          <w:bCs/>
        </w:rPr>
        <w:t>, 00.00 GMT</w:t>
      </w:r>
    </w:p>
    <w:p w14:paraId="76BFFD0E" w14:textId="409A9E56" w:rsidR="00EC13AF" w:rsidRPr="00195F7D" w:rsidRDefault="00EC13AF" w:rsidP="00AF458D">
      <w:pPr>
        <w:spacing w:after="80" w:line="300" w:lineRule="auto"/>
        <w:ind w:right="260"/>
        <w:rPr>
          <w:rFonts w:cs="Arial"/>
          <w:b/>
          <w:bCs/>
          <w:i/>
          <w:iCs/>
        </w:rPr>
      </w:pPr>
      <w:r w:rsidRPr="00195F7D">
        <w:rPr>
          <w:rFonts w:cs="Arial"/>
        </w:rPr>
        <w:t xml:space="preserve">New report: </w:t>
      </w:r>
      <w:r w:rsidRPr="00195F7D">
        <w:rPr>
          <w:rFonts w:cs="Arial"/>
          <w:b/>
          <w:bCs/>
          <w:i/>
          <w:iCs/>
        </w:rPr>
        <w:t xml:space="preserve">Third Sector Trends in England and Wales 2025: </w:t>
      </w:r>
      <w:r w:rsidR="00195F7D" w:rsidRPr="00195F7D">
        <w:rPr>
          <w:rFonts w:cs="Arial"/>
          <w:b/>
          <w:bCs/>
          <w:i/>
          <w:iCs/>
        </w:rPr>
        <w:t>income sources, assets and financial wellbeing.</w:t>
      </w:r>
    </w:p>
    <w:p w14:paraId="46E3C7EF" w14:textId="60C615A0" w:rsidR="00EC13AF" w:rsidRPr="00195F7D" w:rsidRDefault="00EC13AF" w:rsidP="00AF458D">
      <w:pPr>
        <w:spacing w:after="80" w:line="300" w:lineRule="auto"/>
        <w:rPr>
          <w:rFonts w:cs="Arial"/>
        </w:rPr>
      </w:pPr>
      <w:r w:rsidRPr="00195F7D">
        <w:rPr>
          <w:rFonts w:cs="Arial"/>
          <w:b/>
          <w:bCs/>
        </w:rPr>
        <w:t>Third Sector Trends</w:t>
      </w:r>
      <w:r w:rsidRPr="00195F7D">
        <w:rPr>
          <w:rFonts w:cs="Arial"/>
        </w:rPr>
        <w:t xml:space="preserve"> has been surveying the voluntary, community and social enterprise sector every three years since 2010. In 2025, 8,680 responses were received across England and Wales.</w:t>
      </w:r>
      <w:r w:rsidR="008F7A5E" w:rsidRPr="00195F7D">
        <w:rPr>
          <w:rFonts w:cs="Arial"/>
        </w:rPr>
        <w:t xml:space="preserve"> </w:t>
      </w:r>
      <w:r w:rsidRPr="00195F7D">
        <w:rPr>
          <w:rFonts w:cs="Arial"/>
        </w:rPr>
        <w:t>This is the only</w:t>
      </w:r>
      <w:r w:rsidR="008F7A5E" w:rsidRPr="00195F7D">
        <w:rPr>
          <w:rFonts w:cs="Arial"/>
        </w:rPr>
        <w:t xml:space="preserve"> large-scale and</w:t>
      </w:r>
      <w:r w:rsidRPr="00195F7D">
        <w:rPr>
          <w:rFonts w:cs="Arial"/>
        </w:rPr>
        <w:t xml:space="preserve"> fully representative longitudinal </w:t>
      </w:r>
      <w:r w:rsidR="008F7A5E" w:rsidRPr="00195F7D">
        <w:rPr>
          <w:rFonts w:cs="Arial"/>
        </w:rPr>
        <w:t xml:space="preserve">national </w:t>
      </w:r>
      <w:r w:rsidRPr="00195F7D">
        <w:rPr>
          <w:rFonts w:cs="Arial"/>
        </w:rPr>
        <w:t>survey in the UK which can produce robust and detailed comparative analysis at regional and national level.</w:t>
      </w:r>
    </w:p>
    <w:p w14:paraId="7EB8C49C" w14:textId="03B95C7B" w:rsidR="00EC13AF" w:rsidRPr="00195F7D" w:rsidRDefault="00EC13AF" w:rsidP="00AF458D">
      <w:pPr>
        <w:spacing w:after="80" w:line="300" w:lineRule="auto"/>
        <w:rPr>
          <w:rFonts w:cs="Arial"/>
        </w:rPr>
      </w:pPr>
      <w:r w:rsidRPr="00195F7D">
        <w:rPr>
          <w:rFonts w:cs="Arial"/>
        </w:rPr>
        <w:t xml:space="preserve">The project is funded </w:t>
      </w:r>
      <w:r w:rsidR="00A5423D" w:rsidRPr="00195F7D">
        <w:rPr>
          <w:rFonts w:cs="Arial"/>
        </w:rPr>
        <w:t xml:space="preserve">in 2025-26 </w:t>
      </w:r>
      <w:r w:rsidRPr="00195F7D">
        <w:rPr>
          <w:rFonts w:cs="Arial"/>
        </w:rPr>
        <w:t xml:space="preserve">by </w:t>
      </w:r>
      <w:r w:rsidRPr="00195F7D">
        <w:rPr>
          <w:rFonts w:cs="Arial"/>
          <w:b/>
          <w:bCs/>
          <w:i/>
          <w:iCs/>
        </w:rPr>
        <w:t xml:space="preserve">Community Foundation North East, Lloyds Bank Foundation England and Wales, Wales Council for Voluntary Action </w:t>
      </w:r>
      <w:r w:rsidRPr="00195F7D">
        <w:rPr>
          <w:rFonts w:cs="Arial"/>
        </w:rPr>
        <w:t>and</w:t>
      </w:r>
      <w:r w:rsidRPr="00195F7D">
        <w:rPr>
          <w:rFonts w:cs="Arial"/>
          <w:b/>
          <w:bCs/>
          <w:i/>
          <w:iCs/>
        </w:rPr>
        <w:t xml:space="preserve"> Millfield House Foundation</w:t>
      </w:r>
      <w:r w:rsidRPr="00195F7D">
        <w:rPr>
          <w:rFonts w:cs="Arial"/>
        </w:rPr>
        <w:t>.</w:t>
      </w:r>
      <w:r w:rsidR="008F7A5E" w:rsidRPr="00195F7D">
        <w:rPr>
          <w:rFonts w:cs="Arial"/>
        </w:rPr>
        <w:t xml:space="preserve"> </w:t>
      </w:r>
      <w:r w:rsidRPr="00195F7D">
        <w:rPr>
          <w:rFonts w:cs="Arial"/>
        </w:rPr>
        <w:t xml:space="preserve">This is the </w:t>
      </w:r>
      <w:r w:rsidR="00F22EA5">
        <w:rPr>
          <w:rFonts w:cs="Arial"/>
        </w:rPr>
        <w:t>third</w:t>
      </w:r>
      <w:r w:rsidRPr="00195F7D">
        <w:rPr>
          <w:rFonts w:cs="Arial"/>
        </w:rPr>
        <w:t xml:space="preserve"> of five national reports from Third Sector Trends </w:t>
      </w:r>
      <w:r w:rsidR="00E20E47" w:rsidRPr="00195F7D">
        <w:rPr>
          <w:rFonts w:cs="Arial"/>
        </w:rPr>
        <w:t xml:space="preserve">in </w:t>
      </w:r>
      <w:r w:rsidRPr="00195F7D">
        <w:rPr>
          <w:rFonts w:cs="Arial"/>
        </w:rPr>
        <w:t>England and Wales 202</w:t>
      </w:r>
      <w:r w:rsidR="008F7A5E" w:rsidRPr="00195F7D">
        <w:rPr>
          <w:rFonts w:cs="Arial"/>
        </w:rPr>
        <w:t>5</w:t>
      </w:r>
      <w:r w:rsidRPr="00195F7D">
        <w:rPr>
          <w:rFonts w:cs="Arial"/>
        </w:rPr>
        <w:t xml:space="preserve">. </w:t>
      </w:r>
    </w:p>
    <w:p w14:paraId="7090FF53" w14:textId="77777777" w:rsidR="00195120" w:rsidRPr="00A132B3" w:rsidRDefault="00195120" w:rsidP="00AF458D">
      <w:pPr>
        <w:spacing w:after="80" w:line="300" w:lineRule="auto"/>
        <w:rPr>
          <w:rStyle w:val="PPsubheading"/>
          <w:rFonts w:eastAsiaTheme="minorHAnsi"/>
          <w:sz w:val="4"/>
          <w:szCs w:val="4"/>
        </w:rPr>
      </w:pPr>
      <w:bookmarkStart w:id="0" w:name="_Hlk126678116"/>
    </w:p>
    <w:p w14:paraId="5356A2F0" w14:textId="7FE9B015" w:rsidR="00195F7D" w:rsidRPr="00195F7D" w:rsidRDefault="004E4CA2" w:rsidP="00AF458D">
      <w:pPr>
        <w:pStyle w:val="Heading3"/>
        <w:spacing w:after="80"/>
        <w:rPr>
          <w:rStyle w:val="PPsubheading"/>
          <w:rFonts w:eastAsiaTheme="minorHAnsi"/>
          <w:b/>
          <w:bCs w:val="0"/>
          <w:i/>
          <w:iCs/>
        </w:rPr>
      </w:pPr>
      <w:r>
        <w:rPr>
          <w:rStyle w:val="PPsubheading"/>
          <w:rFonts w:eastAsiaTheme="minorHAnsi"/>
          <w:b/>
          <w:bCs w:val="0"/>
          <w:i/>
          <w:iCs/>
        </w:rPr>
        <w:t>Grants are now even more popular as a principal source of income</w:t>
      </w:r>
    </w:p>
    <w:p w14:paraId="3DB5C0C2" w14:textId="28162B79" w:rsidR="00195F7D" w:rsidRPr="00195F7D" w:rsidRDefault="00195F7D" w:rsidP="00AF458D">
      <w:pPr>
        <w:spacing w:after="80" w:line="300" w:lineRule="auto"/>
        <w:rPr>
          <w:rStyle w:val="PPsubheading"/>
          <w:rFonts w:eastAsiaTheme="minorHAnsi"/>
          <w:b w:val="0"/>
          <w:bCs w:val="0"/>
          <w:i w:val="0"/>
          <w:sz w:val="22"/>
          <w:szCs w:val="22"/>
        </w:rPr>
      </w:pPr>
      <w:r w:rsidRPr="00195F7D">
        <w:rPr>
          <w:rFonts w:cs="Arial"/>
        </w:rPr>
        <w:t>Third Sector Trends explores how income sources are valued by</w:t>
      </w:r>
      <w:r w:rsidR="00113669">
        <w:rPr>
          <w:rFonts w:cs="Arial"/>
        </w:rPr>
        <w:t xml:space="preserve"> third sector organisations (</w:t>
      </w:r>
      <w:r w:rsidRPr="00195F7D">
        <w:rPr>
          <w:rFonts w:cs="Arial"/>
        </w:rPr>
        <w:t>TSOs</w:t>
      </w:r>
      <w:r w:rsidR="00113669">
        <w:rPr>
          <w:rFonts w:cs="Arial"/>
        </w:rPr>
        <w:t xml:space="preserve">). </w:t>
      </w:r>
      <w:r w:rsidRPr="00195F7D">
        <w:rPr>
          <w:rStyle w:val="PPsubheading"/>
          <w:rFonts w:eastAsiaTheme="minorHAnsi"/>
          <w:b w:val="0"/>
          <w:bCs w:val="0"/>
          <w:i w:val="0"/>
          <w:sz w:val="22"/>
          <w:szCs w:val="22"/>
        </w:rPr>
        <w:t xml:space="preserve">Time-series analysis shows how perceptions of the value of income sources have changed in relative terms since 2010 </w:t>
      </w:r>
      <w:r w:rsidR="00113669" w:rsidRPr="00195F7D">
        <w:rPr>
          <w:rFonts w:cs="Arial"/>
        </w:rPr>
        <w:t xml:space="preserve">(Figure </w:t>
      </w:r>
      <w:r w:rsidR="00113669">
        <w:rPr>
          <w:rFonts w:cs="Arial"/>
        </w:rPr>
        <w:t>1 shows perceptions of each type of income high value ‘relative’ to others – each year adds up to 100%</w:t>
      </w:r>
      <w:r w:rsidR="00113669" w:rsidRPr="00195F7D">
        <w:rPr>
          <w:rFonts w:cs="Arial"/>
        </w:rPr>
        <w:t>).</w:t>
      </w:r>
    </w:p>
    <w:p w14:paraId="11B8F4AA" w14:textId="758E8D75" w:rsidR="00195F7D" w:rsidRPr="00195F7D" w:rsidRDefault="00195F7D" w:rsidP="00AF458D">
      <w:pPr>
        <w:spacing w:after="80" w:line="300" w:lineRule="auto"/>
        <w:rPr>
          <w:rStyle w:val="PPsubheading"/>
          <w:rFonts w:eastAsiaTheme="minorHAnsi"/>
          <w:b w:val="0"/>
          <w:bCs w:val="0"/>
          <w:i w:val="0"/>
          <w:sz w:val="22"/>
          <w:szCs w:val="22"/>
        </w:rPr>
      </w:pPr>
      <w:r w:rsidRPr="00195F7D">
        <w:rPr>
          <w:rStyle w:val="PPsubheading"/>
          <w:rFonts w:eastAsiaTheme="minorHAnsi"/>
          <w:b w:val="0"/>
          <w:bCs w:val="0"/>
          <w:i w:val="0"/>
          <w:sz w:val="22"/>
          <w:szCs w:val="22"/>
        </w:rPr>
        <w:t xml:space="preserve">Perceptions of the value of grant funding have changed since 2010, reflecting a shift away from narratives about ‘grant dependency’ in policy circles. Income from subscriptions and investments have bounced back in recent years. The perceived value of earned income and contributions in kind have changed little in recent years; however, importance attached to income from the delivery of contracts has fallen heavily since 2022. </w:t>
      </w:r>
    </w:p>
    <w:p w14:paraId="7F8EE589" w14:textId="77777777" w:rsidR="00195F7D" w:rsidRPr="00195F7D" w:rsidRDefault="00195F7D" w:rsidP="00AF458D">
      <w:pPr>
        <w:spacing w:after="80" w:line="300" w:lineRule="auto"/>
        <w:rPr>
          <w:rStyle w:val="PPsubheading"/>
          <w:rFonts w:eastAsiaTheme="minorHAnsi"/>
          <w:b w:val="0"/>
          <w:bCs w:val="0"/>
          <w:i w:val="0"/>
          <w:sz w:val="22"/>
          <w:szCs w:val="22"/>
        </w:rPr>
      </w:pPr>
      <w:r w:rsidRPr="00195F7D">
        <w:rPr>
          <w:rStyle w:val="PPsubheading"/>
          <w:rFonts w:eastAsiaTheme="minorHAnsi"/>
          <w:b w:val="0"/>
          <w:bCs w:val="0"/>
          <w:i w:val="0"/>
          <w:sz w:val="22"/>
          <w:szCs w:val="22"/>
        </w:rPr>
        <w:t xml:space="preserve">While there is a marketplace for loaning money to voluntary organisations for social investment purposes, few regard such income as </w:t>
      </w:r>
      <w:proofErr w:type="gramStart"/>
      <w:r w:rsidRPr="00195F7D">
        <w:rPr>
          <w:rStyle w:val="PPsubheading"/>
          <w:rFonts w:eastAsiaTheme="minorHAnsi"/>
          <w:b w:val="0"/>
          <w:bCs w:val="0"/>
          <w:i w:val="0"/>
          <w:sz w:val="22"/>
          <w:szCs w:val="22"/>
        </w:rPr>
        <w:t>an important element</w:t>
      </w:r>
      <w:proofErr w:type="gramEnd"/>
      <w:r w:rsidRPr="00195F7D">
        <w:rPr>
          <w:rStyle w:val="PPsubheading"/>
          <w:rFonts w:eastAsiaTheme="minorHAnsi"/>
          <w:b w:val="0"/>
          <w:bCs w:val="0"/>
          <w:i w:val="0"/>
          <w:sz w:val="22"/>
          <w:szCs w:val="22"/>
        </w:rPr>
        <w:t xml:space="preserve"> in their financial portfolio and, the signs are that this has decreased further in 2025.</w:t>
      </w:r>
    </w:p>
    <w:p w14:paraId="7377759C" w14:textId="38531282" w:rsidR="00195F7D" w:rsidRPr="00195F7D" w:rsidRDefault="00195F7D" w:rsidP="00AF458D">
      <w:pPr>
        <w:spacing w:after="80" w:line="300" w:lineRule="auto"/>
        <w:rPr>
          <w:rStyle w:val="PPsubheading"/>
          <w:rFonts w:eastAsiaTheme="minorHAnsi"/>
          <w:b w:val="0"/>
          <w:bCs w:val="0"/>
          <w:i w:val="0"/>
          <w:sz w:val="22"/>
          <w:szCs w:val="22"/>
        </w:rPr>
      </w:pPr>
      <w:r w:rsidRPr="00195F7D">
        <w:rPr>
          <w:rStyle w:val="PPsubheading"/>
          <w:rFonts w:eastAsiaTheme="minorHAnsi"/>
          <w:b w:val="0"/>
          <w:bCs w:val="0"/>
          <w:i w:val="0"/>
          <w:iCs/>
          <w:sz w:val="22"/>
          <w:szCs w:val="22"/>
        </w:rPr>
        <w:t xml:space="preserve">Figure </w:t>
      </w:r>
      <w:r w:rsidR="00113669">
        <w:rPr>
          <w:rStyle w:val="PPsubheading"/>
          <w:rFonts w:eastAsiaTheme="minorHAnsi"/>
          <w:b w:val="0"/>
          <w:bCs w:val="0"/>
          <w:i w:val="0"/>
          <w:iCs/>
          <w:sz w:val="22"/>
          <w:szCs w:val="22"/>
        </w:rPr>
        <w:t>1</w:t>
      </w:r>
      <w:r w:rsidRPr="00195F7D">
        <w:rPr>
          <w:rStyle w:val="PPsubheading"/>
          <w:rFonts w:eastAsiaTheme="minorHAnsi"/>
          <w:sz w:val="22"/>
          <w:szCs w:val="22"/>
        </w:rPr>
        <w:t xml:space="preserve">    </w:t>
      </w:r>
      <w:r w:rsidRPr="00195F7D">
        <w:rPr>
          <w:rStyle w:val="PPsubheading"/>
          <w:rFonts w:eastAsiaTheme="minorHAnsi"/>
          <w:i w:val="0"/>
          <w:iCs/>
          <w:sz w:val="22"/>
          <w:szCs w:val="22"/>
        </w:rPr>
        <w:t>Relative importance of income and in-kind support 2010-2025</w:t>
      </w:r>
    </w:p>
    <w:p w14:paraId="48E7E6BF" w14:textId="77777777" w:rsidR="00195F7D" w:rsidRPr="00195F7D" w:rsidRDefault="00195F7D" w:rsidP="00AF458D">
      <w:pPr>
        <w:spacing w:after="80" w:line="300" w:lineRule="auto"/>
        <w:rPr>
          <w:rStyle w:val="PPsubheading"/>
          <w:rFonts w:eastAsiaTheme="minorHAnsi"/>
          <w:b w:val="0"/>
          <w:bCs w:val="0"/>
          <w:i w:val="0"/>
          <w:sz w:val="22"/>
          <w:szCs w:val="22"/>
        </w:rPr>
      </w:pPr>
      <w:r w:rsidRPr="00195F7D">
        <w:rPr>
          <w:rStyle w:val="PPsubheading"/>
          <w:rFonts w:eastAsiaTheme="minorHAnsi"/>
          <w:b w:val="0"/>
          <w:bCs w:val="0"/>
          <w:i w:val="0"/>
          <w:noProof/>
          <w:sz w:val="22"/>
          <w:szCs w:val="22"/>
        </w:rPr>
        <w:drawing>
          <wp:inline distT="0" distB="0" distL="0" distR="0" wp14:anchorId="2F5EE40F" wp14:editId="0C780EEF">
            <wp:extent cx="6687329" cy="2161309"/>
            <wp:effectExtent l="0" t="0" r="0" b="0"/>
            <wp:docPr id="2077092087"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92087" name="Picture 5" descr="A graph of different colored b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875" cy="2167303"/>
                    </a:xfrm>
                    <a:prstGeom prst="rect">
                      <a:avLst/>
                    </a:prstGeom>
                    <a:noFill/>
                  </pic:spPr>
                </pic:pic>
              </a:graphicData>
            </a:graphic>
          </wp:inline>
        </w:drawing>
      </w:r>
    </w:p>
    <w:p w14:paraId="6C19EB8D" w14:textId="77777777" w:rsidR="00AF458D" w:rsidRDefault="00AF458D" w:rsidP="00AF458D">
      <w:pPr>
        <w:spacing w:after="80" w:line="300" w:lineRule="auto"/>
        <w:rPr>
          <w:rStyle w:val="PPsubheading"/>
          <w:rFonts w:eastAsiaTheme="minorHAnsi"/>
        </w:rPr>
      </w:pPr>
    </w:p>
    <w:p w14:paraId="3DB5E36F" w14:textId="77777777" w:rsidR="00113669" w:rsidRDefault="00113669" w:rsidP="00AF458D">
      <w:pPr>
        <w:spacing w:after="80" w:line="300" w:lineRule="auto"/>
        <w:rPr>
          <w:rStyle w:val="PPsubheading"/>
          <w:rFonts w:eastAsiaTheme="minorHAnsi"/>
        </w:rPr>
      </w:pPr>
    </w:p>
    <w:p w14:paraId="6F609AE0" w14:textId="77777777" w:rsidR="00113669" w:rsidRDefault="00113669" w:rsidP="00AF458D">
      <w:pPr>
        <w:spacing w:after="80" w:line="300" w:lineRule="auto"/>
        <w:rPr>
          <w:rStyle w:val="PPsubheading"/>
          <w:rFonts w:eastAsiaTheme="minorHAnsi"/>
        </w:rPr>
      </w:pPr>
    </w:p>
    <w:p w14:paraId="7E511F73" w14:textId="77777777" w:rsidR="00A132B3" w:rsidRDefault="00A132B3">
      <w:pPr>
        <w:spacing w:after="160" w:line="259" w:lineRule="auto"/>
        <w:rPr>
          <w:rStyle w:val="PPsubheading"/>
          <w:rFonts w:eastAsiaTheme="minorHAnsi"/>
        </w:rPr>
      </w:pPr>
      <w:r>
        <w:rPr>
          <w:rStyle w:val="PPsubheading"/>
          <w:rFonts w:eastAsiaTheme="minorHAnsi"/>
        </w:rPr>
        <w:br w:type="page"/>
      </w:r>
    </w:p>
    <w:p w14:paraId="2BA828A5" w14:textId="45B2FAED" w:rsidR="00195F7D" w:rsidRPr="008C7089" w:rsidRDefault="004E4CA2" w:rsidP="00AF458D">
      <w:pPr>
        <w:spacing w:after="80" w:line="300" w:lineRule="auto"/>
        <w:rPr>
          <w:rStyle w:val="PPsubheading"/>
          <w:rFonts w:eastAsiaTheme="minorHAnsi"/>
        </w:rPr>
      </w:pPr>
      <w:r>
        <w:rPr>
          <w:rStyle w:val="PPsubheading"/>
          <w:rFonts w:eastAsiaTheme="minorHAnsi"/>
        </w:rPr>
        <w:lastRenderedPageBreak/>
        <w:t>Trusts and foundations are shifting towards longer-term grants</w:t>
      </w:r>
    </w:p>
    <w:p w14:paraId="6D2C0227" w14:textId="02548B29" w:rsidR="00195F7D" w:rsidRPr="00195F7D" w:rsidRDefault="00195F7D" w:rsidP="00AF458D">
      <w:pPr>
        <w:spacing w:after="80" w:line="300" w:lineRule="auto"/>
        <w:rPr>
          <w:rFonts w:cs="Arial"/>
        </w:rPr>
      </w:pPr>
      <w:r w:rsidRPr="00195F7D">
        <w:rPr>
          <w:rFonts w:cs="Arial"/>
        </w:rPr>
        <w:t>Due to the Coronavirus pandemic which occurred in intervening years, relationships with grant funders have changed since 2019. Percentages refer to TSOs which ‘agree’ or ‘strongly’ agree with each statement</w:t>
      </w:r>
      <w:r w:rsidR="004E4CA2">
        <w:rPr>
          <w:rFonts w:cs="Arial"/>
        </w:rPr>
        <w:t xml:space="preserve"> (Figure 2)</w:t>
      </w:r>
      <w:r w:rsidRPr="00195F7D">
        <w:rPr>
          <w:rFonts w:cs="Arial"/>
        </w:rPr>
        <w:t>.</w:t>
      </w:r>
    </w:p>
    <w:p w14:paraId="4C5B858F" w14:textId="77777777" w:rsidR="00195F7D" w:rsidRPr="00195F7D" w:rsidRDefault="00195F7D" w:rsidP="00AF458D">
      <w:pPr>
        <w:pStyle w:val="ListParagraph"/>
        <w:numPr>
          <w:ilvl w:val="0"/>
          <w:numId w:val="10"/>
        </w:numPr>
        <w:spacing w:after="80" w:line="300" w:lineRule="auto"/>
        <w:ind w:left="714" w:hanging="357"/>
        <w:contextualSpacing w:val="0"/>
        <w:rPr>
          <w:rFonts w:cs="Arial"/>
        </w:rPr>
      </w:pPr>
      <w:r w:rsidRPr="00195F7D">
        <w:rPr>
          <w:rFonts w:cs="Arial"/>
        </w:rPr>
        <w:t>In 2019 only 46% of TSOs stated that they received unrestricted or ‘core funding’ which rose to 60% in 2022. Grant makers have eased back on unrestricted funding since then to 56% in 2025.</w:t>
      </w:r>
    </w:p>
    <w:p w14:paraId="6E1F8E4C" w14:textId="77777777" w:rsidR="00195F7D" w:rsidRPr="00195F7D" w:rsidRDefault="00195F7D" w:rsidP="00AF458D">
      <w:pPr>
        <w:pStyle w:val="ListParagraph"/>
        <w:numPr>
          <w:ilvl w:val="0"/>
          <w:numId w:val="9"/>
        </w:numPr>
        <w:spacing w:after="80" w:line="300" w:lineRule="auto"/>
        <w:ind w:left="714" w:hanging="357"/>
        <w:contextualSpacing w:val="0"/>
        <w:rPr>
          <w:rFonts w:cs="Arial"/>
        </w:rPr>
      </w:pPr>
      <w:r w:rsidRPr="00195F7D">
        <w:rPr>
          <w:rFonts w:cs="Arial"/>
        </w:rPr>
        <w:t>In 2022, fewer TSOs reported that grant makers had taken the time to get to know them during the pandemic (48%) than in 2019 (57%). This has now bounced back to 57% in 2025</w:t>
      </w:r>
      <w:proofErr w:type="gramStart"/>
      <w:r w:rsidRPr="00195F7D">
        <w:rPr>
          <w:rFonts w:cs="Arial"/>
        </w:rPr>
        <w:t xml:space="preserve">.  </w:t>
      </w:r>
      <w:proofErr w:type="gramEnd"/>
    </w:p>
    <w:p w14:paraId="4BA2E129" w14:textId="77777777" w:rsidR="00195F7D" w:rsidRPr="00195F7D" w:rsidRDefault="00195F7D" w:rsidP="00AF458D">
      <w:pPr>
        <w:pStyle w:val="ListParagraph"/>
        <w:numPr>
          <w:ilvl w:val="0"/>
          <w:numId w:val="9"/>
        </w:numPr>
        <w:spacing w:after="80" w:line="300" w:lineRule="auto"/>
        <w:ind w:left="714" w:hanging="357"/>
        <w:contextualSpacing w:val="0"/>
        <w:rPr>
          <w:rFonts w:cs="Arial"/>
        </w:rPr>
      </w:pPr>
      <w:r w:rsidRPr="00195F7D">
        <w:rPr>
          <w:rFonts w:cs="Arial"/>
        </w:rPr>
        <w:t>In 2019, grant makers’ demands that TSOs be ‘innovative’ in their work were at their height (74%), this fell dramatically to 50% during the pandemic but has since risen again to 62%.</w:t>
      </w:r>
    </w:p>
    <w:p w14:paraId="42A4BCEF" w14:textId="77777777" w:rsidR="00195F7D" w:rsidRPr="00195F7D" w:rsidRDefault="00195F7D" w:rsidP="00AF458D">
      <w:pPr>
        <w:pStyle w:val="ListParagraph"/>
        <w:numPr>
          <w:ilvl w:val="0"/>
          <w:numId w:val="8"/>
        </w:numPr>
        <w:spacing w:after="80" w:line="300" w:lineRule="auto"/>
        <w:ind w:left="714" w:hanging="357"/>
        <w:contextualSpacing w:val="0"/>
        <w:rPr>
          <w:rFonts w:cs="Arial"/>
        </w:rPr>
      </w:pPr>
      <w:r w:rsidRPr="00195F7D">
        <w:rPr>
          <w:rFonts w:cs="Arial"/>
        </w:rPr>
        <w:t>In 2019 and 2022, the percentage of organisations stating that grant makers made a long-term investment in their work remained about the same (31-32%). That has changed - 40% of TSOs now report that grant-makers are making a long-term investment in their work</w:t>
      </w:r>
    </w:p>
    <w:p w14:paraId="44F0EAE6" w14:textId="77777777" w:rsidR="00195F7D" w:rsidRDefault="00195F7D" w:rsidP="00AF458D">
      <w:pPr>
        <w:pStyle w:val="ListParagraph"/>
        <w:numPr>
          <w:ilvl w:val="0"/>
          <w:numId w:val="8"/>
        </w:numPr>
        <w:spacing w:after="80" w:line="300" w:lineRule="auto"/>
        <w:ind w:left="714" w:hanging="357"/>
        <w:contextualSpacing w:val="0"/>
        <w:rPr>
          <w:rFonts w:cs="Arial"/>
        </w:rPr>
      </w:pPr>
      <w:r w:rsidRPr="00195F7D">
        <w:rPr>
          <w:rFonts w:cs="Arial"/>
        </w:rPr>
        <w:t>Support from grant makers to develop organisational skills dipped from 34% in 2019 to 27% of TSOs during the pandemic. Investment in skills has since bounced back to 35% in 2025.</w:t>
      </w:r>
    </w:p>
    <w:p w14:paraId="526EB9B7" w14:textId="0C10B9B1" w:rsidR="00286511" w:rsidRDefault="00286511" w:rsidP="00286511">
      <w:pPr>
        <w:spacing w:after="80" w:line="300" w:lineRule="auto"/>
        <w:rPr>
          <w:rFonts w:cs="Arial"/>
        </w:rPr>
      </w:pPr>
      <w:r>
        <w:rPr>
          <w:rFonts w:cs="Arial"/>
        </w:rPr>
        <w:t>As Rob Williamson, CEO of Community Foundation North East commented</w:t>
      </w:r>
    </w:p>
    <w:p w14:paraId="6AB09D57" w14:textId="1FAE7199" w:rsidR="00286511" w:rsidRPr="00286511" w:rsidRDefault="00286511" w:rsidP="00F22EA5">
      <w:pPr>
        <w:spacing w:after="80" w:line="300" w:lineRule="auto"/>
        <w:ind w:left="720"/>
        <w:rPr>
          <w:rFonts w:cs="Arial"/>
          <w:b/>
          <w:bCs/>
          <w:i/>
          <w:iCs/>
        </w:rPr>
      </w:pPr>
      <w:r w:rsidRPr="00286511">
        <w:rPr>
          <w:rFonts w:cs="Arial"/>
          <w:b/>
          <w:bCs/>
          <w:i/>
          <w:iCs/>
        </w:rPr>
        <w:t xml:space="preserve">“It’s encouraging that Third Sector Trends 2025 shows a positive direction of travel in grant-making practice from trusts and foundations. Whilst there has been </w:t>
      </w:r>
      <w:proofErr w:type="gramStart"/>
      <w:r w:rsidRPr="00286511">
        <w:rPr>
          <w:rFonts w:cs="Arial"/>
          <w:b/>
          <w:bCs/>
          <w:i/>
          <w:iCs/>
        </w:rPr>
        <w:t>some of</w:t>
      </w:r>
      <w:proofErr w:type="gramEnd"/>
      <w:r w:rsidRPr="00286511">
        <w:rPr>
          <w:rFonts w:cs="Arial"/>
          <w:b/>
          <w:bCs/>
          <w:i/>
          <w:iCs/>
        </w:rPr>
        <w:t xml:space="preserve"> the expected ‘bounce-back’ from the exceptional circumstances of the pandemic, it is clear an important shift is happening towards increased long-term, core funding, which is vital to enable charities and community groups to thrive. The drift back towards funders requiring ‘innovation’ gives </w:t>
      </w:r>
      <w:proofErr w:type="gramStart"/>
      <w:r w:rsidRPr="00286511">
        <w:rPr>
          <w:rFonts w:cs="Arial"/>
          <w:b/>
          <w:bCs/>
          <w:i/>
          <w:iCs/>
        </w:rPr>
        <w:t>some</w:t>
      </w:r>
      <w:proofErr w:type="gramEnd"/>
      <w:r w:rsidRPr="00286511">
        <w:rPr>
          <w:rFonts w:cs="Arial"/>
          <w:b/>
          <w:bCs/>
          <w:i/>
          <w:iCs/>
        </w:rPr>
        <w:t xml:space="preserve"> cause for concern – as a place-based funder supporting hundreds of grass-roots charities we know this can be a distraction for organisations who should be supported to keep doing what they do well - delivering support day-in-day-out for their communities.”</w:t>
      </w:r>
    </w:p>
    <w:p w14:paraId="6B21621F" w14:textId="77777777" w:rsidR="00286511" w:rsidRPr="00286511" w:rsidRDefault="00286511" w:rsidP="00286511">
      <w:pPr>
        <w:spacing w:after="80" w:line="300" w:lineRule="auto"/>
        <w:rPr>
          <w:rFonts w:cs="Arial"/>
        </w:rPr>
      </w:pPr>
    </w:p>
    <w:p w14:paraId="4CA8819C" w14:textId="1C59C270" w:rsidR="002E74CE" w:rsidRPr="002E74CE" w:rsidRDefault="002E74CE" w:rsidP="00AF458D">
      <w:pPr>
        <w:spacing w:after="80"/>
        <w:ind w:left="1134" w:hanging="1134"/>
        <w:rPr>
          <w:rFonts w:cs="Arial"/>
          <w:sz w:val="18"/>
          <w:szCs w:val="18"/>
        </w:rPr>
      </w:pPr>
      <w:bookmarkStart w:id="1" w:name="_Hlk215822728"/>
      <w:r w:rsidRPr="002E74CE">
        <w:rPr>
          <w:rFonts w:cs="Arial"/>
        </w:rPr>
        <w:t>Figure</w:t>
      </w:r>
      <w:r w:rsidRPr="002E74CE">
        <w:rPr>
          <w:rFonts w:cs="Arial"/>
          <w:b/>
          <w:bCs/>
        </w:rPr>
        <w:t xml:space="preserve"> </w:t>
      </w:r>
      <w:r w:rsidR="00113669" w:rsidRPr="00113669">
        <w:rPr>
          <w:rFonts w:cs="Arial"/>
        </w:rPr>
        <w:t>2</w:t>
      </w:r>
      <w:r>
        <w:rPr>
          <w:rFonts w:cs="Arial"/>
          <w:b/>
          <w:bCs/>
        </w:rPr>
        <w:tab/>
      </w:r>
      <w:r w:rsidRPr="002E74CE">
        <w:rPr>
          <w:rFonts w:cs="Arial"/>
          <w:b/>
          <w:bCs/>
        </w:rPr>
        <w:t xml:space="preserve">Voluntary organisations’ working relationship with grant-making trusts and foundations: 2019-2025 </w:t>
      </w:r>
      <w:r w:rsidRPr="002E74CE">
        <w:rPr>
          <w:rFonts w:cs="Arial"/>
          <w:sz w:val="18"/>
          <w:szCs w:val="18"/>
        </w:rPr>
        <w:t>(Third Sector Trends in England and Wales, percentage 'agree' or 'strongly agree' 2019, n=3,958, 2022 n=5,978, 2025, n=8,556)</w:t>
      </w:r>
    </w:p>
    <w:bookmarkEnd w:id="1"/>
    <w:p w14:paraId="77810E37" w14:textId="77777777" w:rsidR="002E74CE" w:rsidRPr="002E74CE" w:rsidRDefault="002E74CE" w:rsidP="00AF458D">
      <w:pPr>
        <w:spacing w:after="80"/>
        <w:rPr>
          <w:rFonts w:cs="Arial"/>
        </w:rPr>
      </w:pPr>
      <w:r>
        <w:rPr>
          <w:noProof/>
        </w:rPr>
        <w:drawing>
          <wp:inline distT="0" distB="0" distL="0" distR="0" wp14:anchorId="2D0B5E4D" wp14:editId="0C55B6A4">
            <wp:extent cx="6088432" cy="2637054"/>
            <wp:effectExtent l="0" t="0" r="7620" b="0"/>
            <wp:docPr id="418010759" name="Picture 8"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10759" name="Picture 8" descr="A graph of different colored ba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5207" cy="2652982"/>
                    </a:xfrm>
                    <a:prstGeom prst="rect">
                      <a:avLst/>
                    </a:prstGeom>
                    <a:noFill/>
                  </pic:spPr>
                </pic:pic>
              </a:graphicData>
            </a:graphic>
          </wp:inline>
        </w:drawing>
      </w:r>
    </w:p>
    <w:p w14:paraId="394A471F" w14:textId="77777777" w:rsidR="00286511" w:rsidRDefault="00286511" w:rsidP="00AF458D">
      <w:pPr>
        <w:spacing w:after="80" w:line="300" w:lineRule="auto"/>
        <w:rPr>
          <w:rStyle w:val="PPsubheading"/>
          <w:rFonts w:eastAsiaTheme="minorHAnsi"/>
        </w:rPr>
      </w:pPr>
    </w:p>
    <w:p w14:paraId="53F170E5" w14:textId="77777777" w:rsidR="00286511" w:rsidRDefault="00286511" w:rsidP="00AF458D">
      <w:pPr>
        <w:spacing w:after="80" w:line="300" w:lineRule="auto"/>
        <w:rPr>
          <w:rStyle w:val="PPsubheading"/>
          <w:rFonts w:eastAsiaTheme="minorHAnsi"/>
        </w:rPr>
      </w:pPr>
    </w:p>
    <w:p w14:paraId="69705DBB" w14:textId="32DA05F9" w:rsidR="00195F7D" w:rsidRPr="008C7089" w:rsidRDefault="004E4CA2" w:rsidP="00AF458D">
      <w:pPr>
        <w:spacing w:after="80" w:line="300" w:lineRule="auto"/>
        <w:rPr>
          <w:rStyle w:val="PPsubheading"/>
          <w:rFonts w:eastAsiaTheme="minorHAnsi"/>
          <w:color w:val="EE0000"/>
          <w:sz w:val="22"/>
          <w:szCs w:val="22"/>
        </w:rPr>
      </w:pPr>
      <w:r>
        <w:rPr>
          <w:rStyle w:val="PPsubheading"/>
          <w:rFonts w:eastAsiaTheme="minorHAnsi"/>
        </w:rPr>
        <w:lastRenderedPageBreak/>
        <w:t>The third sector is turning its back on c</w:t>
      </w:r>
      <w:r w:rsidR="00195F7D" w:rsidRPr="00B666F9">
        <w:rPr>
          <w:rStyle w:val="PPsubheading"/>
          <w:rFonts w:eastAsiaTheme="minorHAnsi"/>
        </w:rPr>
        <w:t>ontracts</w:t>
      </w:r>
      <w:r>
        <w:rPr>
          <w:rStyle w:val="PPsubheading"/>
          <w:rFonts w:eastAsiaTheme="minorHAnsi"/>
        </w:rPr>
        <w:t xml:space="preserve"> to deliver public services</w:t>
      </w:r>
    </w:p>
    <w:p w14:paraId="16C8C985" w14:textId="77777777" w:rsidR="00195F7D" w:rsidRPr="00195F7D" w:rsidRDefault="00195F7D" w:rsidP="00AF458D">
      <w:pPr>
        <w:spacing w:after="80" w:line="300" w:lineRule="auto"/>
        <w:rPr>
          <w:rFonts w:cs="Arial"/>
          <w:b/>
          <w:bCs/>
          <w:i/>
          <w:iCs/>
        </w:rPr>
      </w:pPr>
      <w:r w:rsidRPr="00195F7D">
        <w:rPr>
          <w:rFonts w:cs="Arial"/>
        </w:rPr>
        <w:t>Political enthusiasm to involve voluntary organisations in the delivery of public services under contract remains strong and government has produced new guidelines to smooth procurement processes and set targets for the engagement of voluntary organisations (and small and medium-sized businesses) in this field.</w:t>
      </w:r>
    </w:p>
    <w:p w14:paraId="2FE7AD16" w14:textId="77777777" w:rsidR="00195F7D" w:rsidRPr="00195F7D" w:rsidRDefault="00195F7D" w:rsidP="00AF458D">
      <w:pPr>
        <w:spacing w:after="80" w:line="300" w:lineRule="auto"/>
        <w:rPr>
          <w:rFonts w:cs="Arial"/>
        </w:rPr>
      </w:pPr>
      <w:r w:rsidRPr="00195F7D">
        <w:rPr>
          <w:rFonts w:cs="Arial"/>
        </w:rPr>
        <w:t xml:space="preserve">Despite this and previous government efforts to incentivise and help prepare voluntary organisations to engage in the delivery of public services under contract, interest continues to decline steeply. </w:t>
      </w:r>
    </w:p>
    <w:p w14:paraId="65E8008D" w14:textId="77777777" w:rsidR="00195F7D" w:rsidRPr="00195F7D" w:rsidRDefault="00195F7D" w:rsidP="00AF458D">
      <w:pPr>
        <w:spacing w:after="80" w:line="300" w:lineRule="auto"/>
        <w:rPr>
          <w:rFonts w:cs="Arial"/>
        </w:rPr>
      </w:pPr>
      <w:r w:rsidRPr="00195F7D">
        <w:rPr>
          <w:rFonts w:cs="Arial"/>
        </w:rPr>
        <w:t xml:space="preserve">Amongst the biggest voluntary organisations, 64% remained involved between 2016 and 2019. That commitment collapsed during the Covid-19 pandemic to 54% and has fallen since to 50% in 2025. A decade ago, 23% of voluntary organisations were ‘ambivalent’ about getting involved in public service contracts due to </w:t>
      </w:r>
      <w:r w:rsidRPr="00195F7D">
        <w:rPr>
          <w:rFonts w:cs="Arial"/>
          <w:i/>
          <w:iCs/>
        </w:rPr>
        <w:t xml:space="preserve">lack of information, the need for support </w:t>
      </w:r>
      <w:r w:rsidRPr="00195F7D">
        <w:rPr>
          <w:rFonts w:cs="Arial"/>
        </w:rPr>
        <w:t>or</w:t>
      </w:r>
      <w:r w:rsidRPr="00195F7D">
        <w:rPr>
          <w:rFonts w:cs="Arial"/>
          <w:i/>
          <w:iCs/>
        </w:rPr>
        <w:t xml:space="preserve"> perception of barriers to engagement</w:t>
      </w:r>
      <w:r w:rsidRPr="00195F7D">
        <w:rPr>
          <w:rFonts w:cs="Arial"/>
        </w:rPr>
        <w:t xml:space="preserve">; only 14% feel that way now – indicating a hardening of opposition to contract working. </w:t>
      </w:r>
    </w:p>
    <w:p w14:paraId="106A2014" w14:textId="77777777" w:rsidR="00195F7D" w:rsidRPr="00195F7D" w:rsidRDefault="00195F7D" w:rsidP="00AF458D">
      <w:pPr>
        <w:spacing w:after="80" w:line="300" w:lineRule="auto"/>
        <w:rPr>
          <w:rFonts w:cs="Arial"/>
        </w:rPr>
      </w:pPr>
      <w:r w:rsidRPr="00195F7D">
        <w:rPr>
          <w:rFonts w:cs="Arial"/>
        </w:rPr>
        <w:t xml:space="preserve">In 2022, the main </w:t>
      </w:r>
      <w:proofErr w:type="gramStart"/>
      <w:r w:rsidRPr="00195F7D">
        <w:rPr>
          <w:rFonts w:cs="Arial"/>
        </w:rPr>
        <w:t>reason why</w:t>
      </w:r>
      <w:proofErr w:type="gramEnd"/>
      <w:r w:rsidRPr="00195F7D">
        <w:rPr>
          <w:rFonts w:cs="Arial"/>
        </w:rPr>
        <w:t xml:space="preserve"> voluntary organisations were withdrawing from this field of work is that contract values were too low to meet the cost of delivery (especially in a context of rising costs and difficulties in retaining and recruiting staff). These problems have been exacerbated in 2025 with hikes in the National Minimum Wage and employers’ National Insurance contributions.</w:t>
      </w:r>
    </w:p>
    <w:p w14:paraId="6FA1730F" w14:textId="77777777" w:rsidR="00195120" w:rsidRPr="00280B84" w:rsidRDefault="00195120" w:rsidP="00AF458D">
      <w:pPr>
        <w:pStyle w:val="Heading2"/>
        <w:spacing w:after="80" w:line="300" w:lineRule="auto"/>
        <w:ind w:left="0"/>
        <w:rPr>
          <w:rStyle w:val="PPsubheading"/>
          <w:b/>
          <w:bCs/>
          <w:i w:val="0"/>
          <w:iCs/>
          <w:sz w:val="4"/>
          <w:szCs w:val="4"/>
        </w:rPr>
      </w:pPr>
    </w:p>
    <w:p w14:paraId="6435D26C" w14:textId="406E27E2" w:rsidR="00195F7D" w:rsidRPr="00B666F9" w:rsidRDefault="00113669" w:rsidP="00AF458D">
      <w:pPr>
        <w:pStyle w:val="Heading2"/>
        <w:spacing w:after="80" w:line="300" w:lineRule="auto"/>
        <w:ind w:left="0"/>
        <w:rPr>
          <w:rStyle w:val="PPsubheading"/>
          <w:b/>
          <w:bCs/>
        </w:rPr>
      </w:pPr>
      <w:r>
        <w:rPr>
          <w:rStyle w:val="PPsubheading"/>
          <w:b/>
          <w:bCs/>
        </w:rPr>
        <w:t xml:space="preserve">The appeal and reliance upon earned </w:t>
      </w:r>
      <w:r w:rsidR="00195F7D" w:rsidRPr="00B666F9">
        <w:rPr>
          <w:rStyle w:val="PPsubheading"/>
          <w:b/>
          <w:bCs/>
        </w:rPr>
        <w:t>income</w:t>
      </w:r>
      <w:r>
        <w:rPr>
          <w:rStyle w:val="PPsubheading"/>
          <w:b/>
          <w:bCs/>
        </w:rPr>
        <w:t xml:space="preserve"> is weakening</w:t>
      </w:r>
    </w:p>
    <w:p w14:paraId="7FD66713" w14:textId="4F0DA15D" w:rsidR="00195F7D" w:rsidRPr="00B666F9" w:rsidRDefault="00195F7D" w:rsidP="00AF458D">
      <w:pPr>
        <w:spacing w:after="80" w:line="300" w:lineRule="auto"/>
        <w:rPr>
          <w:rStyle w:val="PPsubheading"/>
          <w:rFonts w:eastAsiaTheme="minorHAnsi"/>
          <w:b w:val="0"/>
          <w:bCs w:val="0"/>
          <w:i w:val="0"/>
          <w:sz w:val="22"/>
          <w:szCs w:val="22"/>
        </w:rPr>
      </w:pPr>
      <w:r w:rsidRPr="00B666F9">
        <w:rPr>
          <w:rStyle w:val="PPsubheading"/>
          <w:rFonts w:eastAsiaTheme="minorHAnsi"/>
          <w:b w:val="0"/>
          <w:bCs w:val="0"/>
          <w:i w:val="0"/>
          <w:sz w:val="22"/>
          <w:szCs w:val="22"/>
        </w:rPr>
        <w:t xml:space="preserve">Earning income from trading is </w:t>
      </w:r>
      <w:proofErr w:type="gramStart"/>
      <w:r w:rsidRPr="00B666F9">
        <w:rPr>
          <w:rStyle w:val="PPsubheading"/>
          <w:rFonts w:eastAsiaTheme="minorHAnsi"/>
          <w:b w:val="0"/>
          <w:bCs w:val="0"/>
          <w:i w:val="0"/>
          <w:sz w:val="22"/>
          <w:szCs w:val="22"/>
        </w:rPr>
        <w:t>an important element</w:t>
      </w:r>
      <w:proofErr w:type="gramEnd"/>
      <w:r w:rsidRPr="00B666F9">
        <w:rPr>
          <w:rStyle w:val="PPsubheading"/>
          <w:rFonts w:eastAsiaTheme="minorHAnsi"/>
          <w:b w:val="0"/>
          <w:bCs w:val="0"/>
          <w:i w:val="0"/>
          <w:sz w:val="22"/>
          <w:szCs w:val="22"/>
        </w:rPr>
        <w:t xml:space="preserve"> of finance for </w:t>
      </w:r>
      <w:proofErr w:type="gramStart"/>
      <w:r w:rsidRPr="00B666F9">
        <w:rPr>
          <w:rStyle w:val="PPsubheading"/>
          <w:rFonts w:eastAsiaTheme="minorHAnsi"/>
          <w:b w:val="0"/>
          <w:bCs w:val="0"/>
          <w:i w:val="0"/>
          <w:sz w:val="22"/>
          <w:szCs w:val="22"/>
        </w:rPr>
        <w:t>many</w:t>
      </w:r>
      <w:proofErr w:type="gramEnd"/>
      <w:r w:rsidRPr="00B666F9">
        <w:rPr>
          <w:rStyle w:val="PPsubheading"/>
          <w:rFonts w:eastAsiaTheme="minorHAnsi"/>
          <w:b w:val="0"/>
          <w:bCs w:val="0"/>
          <w:i w:val="0"/>
          <w:sz w:val="22"/>
          <w:szCs w:val="22"/>
        </w:rPr>
        <w:t xml:space="preserve"> TSOs. Income can be earned from contracts (as discussed above) or through self-generated trading </w:t>
      </w:r>
      <w:r w:rsidR="00111E5A">
        <w:rPr>
          <w:rStyle w:val="PPsubheading"/>
          <w:rFonts w:eastAsiaTheme="minorHAnsi"/>
          <w:b w:val="0"/>
          <w:bCs w:val="0"/>
          <w:i w:val="0"/>
          <w:sz w:val="22"/>
          <w:szCs w:val="22"/>
        </w:rPr>
        <w:t xml:space="preserve">of </w:t>
      </w:r>
      <w:r w:rsidRPr="00B666F9">
        <w:rPr>
          <w:rStyle w:val="PPsubheading"/>
          <w:rFonts w:eastAsiaTheme="minorHAnsi"/>
          <w:b w:val="0"/>
          <w:bCs w:val="0"/>
          <w:i w:val="0"/>
          <w:sz w:val="22"/>
          <w:szCs w:val="22"/>
        </w:rPr>
        <w:t xml:space="preserve">goods, charging for services or renting space. </w:t>
      </w:r>
    </w:p>
    <w:p w14:paraId="5F3D4F0B" w14:textId="77777777" w:rsidR="00195F7D" w:rsidRPr="00195F7D" w:rsidRDefault="00195F7D" w:rsidP="00AF458D">
      <w:pPr>
        <w:pStyle w:val="ListParagraph"/>
        <w:numPr>
          <w:ilvl w:val="0"/>
          <w:numId w:val="54"/>
        </w:numPr>
        <w:spacing w:after="80" w:line="300" w:lineRule="auto"/>
        <w:ind w:left="567" w:hanging="357"/>
        <w:contextualSpacing w:val="0"/>
        <w:rPr>
          <w:rFonts w:cs="Arial"/>
        </w:rPr>
      </w:pPr>
      <w:r w:rsidRPr="00195F7D">
        <w:rPr>
          <w:rFonts w:cs="Arial"/>
        </w:rPr>
        <w:t xml:space="preserve">About 60% of organisations in the third sector earn a proportion of their income by delivering contracts or self-generated trading of goods or services. </w:t>
      </w:r>
    </w:p>
    <w:p w14:paraId="4E0E3EAC" w14:textId="77777777" w:rsidR="00195F7D" w:rsidRPr="00195F7D" w:rsidRDefault="00195F7D" w:rsidP="00AF458D">
      <w:pPr>
        <w:pStyle w:val="ListParagraph"/>
        <w:numPr>
          <w:ilvl w:val="0"/>
          <w:numId w:val="54"/>
        </w:numPr>
        <w:spacing w:after="80" w:line="300" w:lineRule="auto"/>
        <w:ind w:left="567" w:hanging="357"/>
        <w:contextualSpacing w:val="0"/>
        <w:rPr>
          <w:rFonts w:cs="Arial"/>
        </w:rPr>
      </w:pPr>
      <w:r w:rsidRPr="00195F7D">
        <w:rPr>
          <w:rFonts w:cs="Arial"/>
        </w:rPr>
        <w:t xml:space="preserve">The proportion of TSOs which earned more than 80% of their income from trading fell to 14% during the pandemic but has since risen to 17% in 2025. </w:t>
      </w:r>
    </w:p>
    <w:p w14:paraId="45A1CF9F" w14:textId="77777777" w:rsidR="00195F7D" w:rsidRPr="00195F7D" w:rsidRDefault="00195F7D" w:rsidP="00AF458D">
      <w:pPr>
        <w:pStyle w:val="ListParagraph"/>
        <w:numPr>
          <w:ilvl w:val="0"/>
          <w:numId w:val="54"/>
        </w:numPr>
        <w:spacing w:after="80" w:line="300" w:lineRule="auto"/>
        <w:ind w:left="567" w:hanging="357"/>
        <w:contextualSpacing w:val="0"/>
        <w:rPr>
          <w:rFonts w:cs="Arial"/>
        </w:rPr>
      </w:pPr>
      <w:r w:rsidRPr="00195F7D">
        <w:rPr>
          <w:rFonts w:cs="Arial"/>
        </w:rPr>
        <w:t>The overall percentage of trading organisations has decreased from 68% in 2013 to 60% in 2025.</w:t>
      </w:r>
    </w:p>
    <w:p w14:paraId="7C14C793" w14:textId="5CFCF0A7" w:rsidR="008C7089" w:rsidRDefault="008C7089" w:rsidP="00AF458D">
      <w:pPr>
        <w:spacing w:after="80" w:line="300" w:lineRule="auto"/>
        <w:rPr>
          <w:rFonts w:cs="Arial"/>
        </w:rPr>
      </w:pPr>
      <w:r w:rsidRPr="008C7089">
        <w:rPr>
          <w:rFonts w:cs="Arial"/>
        </w:rPr>
        <w:t>The appeal of and reliance upon trading</w:t>
      </w:r>
      <w:r w:rsidR="00AF458D">
        <w:rPr>
          <w:rFonts w:cs="Arial"/>
        </w:rPr>
        <w:t xml:space="preserve"> is weakening</w:t>
      </w:r>
      <w:r w:rsidRPr="008C7089">
        <w:rPr>
          <w:rFonts w:cs="Arial"/>
        </w:rPr>
        <w:t xml:space="preserve">. Only 55% of TSOs set up since 2020 are engaged in trading compared with 66% of those set up between 1945-1979. Only 9% of the newest organisations are highly reliant on trading (that is, earning more than 80% of their income); that percentage rises to 25% of those TSOs set up between 1900-1945. </w:t>
      </w:r>
    </w:p>
    <w:p w14:paraId="75B280FA" w14:textId="6F96702B" w:rsidR="00113669" w:rsidRDefault="00113669" w:rsidP="00AF458D">
      <w:pPr>
        <w:spacing w:after="80" w:line="300" w:lineRule="auto"/>
        <w:rPr>
          <w:rFonts w:cs="Arial"/>
        </w:rPr>
      </w:pPr>
      <w:r>
        <w:rPr>
          <w:rFonts w:cs="Arial"/>
        </w:rPr>
        <w:t>As Professor Tony Chapman, Durham University, who leads the project said:</w:t>
      </w:r>
    </w:p>
    <w:p w14:paraId="6BA6E9D1" w14:textId="07A8AF5C" w:rsidR="00195F7D" w:rsidRPr="00113669" w:rsidRDefault="00113669" w:rsidP="00113669">
      <w:pPr>
        <w:spacing w:after="80" w:line="300" w:lineRule="auto"/>
        <w:ind w:left="720"/>
        <w:rPr>
          <w:rFonts w:cs="Arial"/>
          <w:b/>
          <w:bCs/>
          <w:i/>
          <w:iCs/>
        </w:rPr>
      </w:pPr>
      <w:r w:rsidRPr="00113669">
        <w:rPr>
          <w:rFonts w:cs="Arial"/>
          <w:b/>
          <w:bCs/>
          <w:i/>
          <w:iCs/>
        </w:rPr>
        <w:t>“</w:t>
      </w:r>
      <w:r w:rsidR="008C7089" w:rsidRPr="00113669">
        <w:rPr>
          <w:rFonts w:cs="Arial"/>
          <w:b/>
          <w:bCs/>
          <w:i/>
          <w:iCs/>
        </w:rPr>
        <w:t>Policy makers continue to express enthusiasm for ‘social enterprise’ to bolster local economies, especially in poorer areas</w:t>
      </w:r>
      <w:r>
        <w:rPr>
          <w:rFonts w:cs="Arial"/>
          <w:b/>
          <w:bCs/>
          <w:i/>
          <w:iCs/>
        </w:rPr>
        <w:t>. B</w:t>
      </w:r>
      <w:r w:rsidR="008C7089" w:rsidRPr="00113669">
        <w:rPr>
          <w:rFonts w:cs="Arial"/>
          <w:b/>
          <w:bCs/>
          <w:i/>
          <w:iCs/>
        </w:rPr>
        <w:t xml:space="preserve">ut </w:t>
      </w:r>
      <w:r>
        <w:rPr>
          <w:rFonts w:cs="Arial"/>
          <w:b/>
          <w:bCs/>
          <w:i/>
          <w:iCs/>
        </w:rPr>
        <w:t xml:space="preserve">that is </w:t>
      </w:r>
      <w:r w:rsidR="008C7089" w:rsidRPr="00113669">
        <w:rPr>
          <w:rFonts w:cs="Arial"/>
          <w:b/>
          <w:bCs/>
          <w:i/>
          <w:iCs/>
        </w:rPr>
        <w:t xml:space="preserve">a big ask – especially in areas where trading conditions are tough and the private sector has already withdrawn. This helps to explain why </w:t>
      </w:r>
      <w:proofErr w:type="gramStart"/>
      <w:r w:rsidR="008C7089" w:rsidRPr="00113669">
        <w:rPr>
          <w:rFonts w:cs="Arial"/>
          <w:b/>
          <w:bCs/>
          <w:i/>
          <w:iCs/>
        </w:rPr>
        <w:t>almost all</w:t>
      </w:r>
      <w:proofErr w:type="gramEnd"/>
      <w:r w:rsidR="008C7089" w:rsidRPr="00113669">
        <w:rPr>
          <w:rFonts w:cs="Arial"/>
          <w:b/>
          <w:bCs/>
          <w:i/>
          <w:iCs/>
        </w:rPr>
        <w:t xml:space="preserve"> trading organisations rely</w:t>
      </w:r>
      <w:r>
        <w:rPr>
          <w:rFonts w:cs="Arial"/>
          <w:b/>
          <w:bCs/>
          <w:i/>
          <w:iCs/>
        </w:rPr>
        <w:t xml:space="preserve"> heavily</w:t>
      </w:r>
      <w:r w:rsidR="008C7089" w:rsidRPr="00113669">
        <w:rPr>
          <w:rFonts w:cs="Arial"/>
          <w:b/>
          <w:bCs/>
          <w:i/>
          <w:iCs/>
        </w:rPr>
        <w:t xml:space="preserve"> upon a wide variety of additional income sources – especially grants and gifts together with in-kind support.</w:t>
      </w:r>
      <w:r w:rsidRPr="00113669">
        <w:rPr>
          <w:rFonts w:cs="Arial"/>
          <w:b/>
          <w:bCs/>
          <w:i/>
          <w:iCs/>
        </w:rPr>
        <w:t>”</w:t>
      </w:r>
    </w:p>
    <w:p w14:paraId="50CA47CF" w14:textId="77777777" w:rsidR="001E3322" w:rsidRDefault="001E3322">
      <w:pPr>
        <w:spacing w:after="160" w:line="259" w:lineRule="auto"/>
        <w:rPr>
          <w:rStyle w:val="PPsubheading"/>
          <w:rFonts w:eastAsiaTheme="minorHAnsi"/>
        </w:rPr>
      </w:pPr>
      <w:r>
        <w:rPr>
          <w:rStyle w:val="PPsubheading"/>
          <w:rFonts w:eastAsiaTheme="minorHAnsi"/>
        </w:rPr>
        <w:br w:type="page"/>
      </w:r>
    </w:p>
    <w:p w14:paraId="047F4FDC" w14:textId="53D5EBF7" w:rsidR="00195F7D" w:rsidRPr="00B666F9" w:rsidRDefault="00195F7D" w:rsidP="00AF458D">
      <w:pPr>
        <w:spacing w:after="80" w:line="300" w:lineRule="auto"/>
        <w:rPr>
          <w:rStyle w:val="PPsubheading"/>
          <w:rFonts w:eastAsiaTheme="minorHAnsi"/>
        </w:rPr>
      </w:pPr>
      <w:r w:rsidRPr="00B666F9">
        <w:rPr>
          <w:rStyle w:val="PPsubheading"/>
          <w:rFonts w:eastAsiaTheme="minorHAnsi"/>
        </w:rPr>
        <w:lastRenderedPageBreak/>
        <w:t>Financial reserves</w:t>
      </w:r>
      <w:r w:rsidR="00113669">
        <w:rPr>
          <w:rStyle w:val="PPsubheading"/>
          <w:rFonts w:eastAsiaTheme="minorHAnsi"/>
        </w:rPr>
        <w:t xml:space="preserve"> have held up well since 2022</w:t>
      </w:r>
    </w:p>
    <w:p w14:paraId="23276179" w14:textId="77777777" w:rsidR="00195F7D" w:rsidRPr="00195F7D" w:rsidRDefault="00195F7D" w:rsidP="00AF458D">
      <w:pPr>
        <w:spacing w:after="80" w:line="300" w:lineRule="auto"/>
        <w:rPr>
          <w:rFonts w:cs="Arial"/>
        </w:rPr>
      </w:pPr>
      <w:r w:rsidRPr="00195F7D">
        <w:rPr>
          <w:rFonts w:cs="Arial"/>
        </w:rPr>
        <w:t>Third sector finances have held up well in 2025, though experiences vary depending upon the size and location of voluntary organisations.</w:t>
      </w:r>
    </w:p>
    <w:p w14:paraId="38D31B6D" w14:textId="6FD233AF" w:rsidR="00195F7D" w:rsidRPr="00195F7D" w:rsidRDefault="00195F7D" w:rsidP="00AF458D">
      <w:pPr>
        <w:pStyle w:val="ListParagraph"/>
        <w:numPr>
          <w:ilvl w:val="0"/>
          <w:numId w:val="53"/>
        </w:numPr>
        <w:spacing w:after="80" w:line="300" w:lineRule="auto"/>
        <w:ind w:left="714" w:hanging="357"/>
        <w:contextualSpacing w:val="0"/>
        <w:rPr>
          <w:rFonts w:cs="Arial"/>
        </w:rPr>
      </w:pPr>
      <w:r w:rsidRPr="00195F7D">
        <w:rPr>
          <w:rFonts w:cs="Arial"/>
        </w:rPr>
        <w:t xml:space="preserve">Most TSOs hold reserves (82%). </w:t>
      </w:r>
      <w:r w:rsidR="00113669">
        <w:rPr>
          <w:rFonts w:cs="Arial"/>
        </w:rPr>
        <w:t xml:space="preserve">This varies by size, 71% of </w:t>
      </w:r>
      <w:r w:rsidRPr="00195F7D">
        <w:rPr>
          <w:rFonts w:cs="Arial"/>
        </w:rPr>
        <w:t xml:space="preserve">micro TSOs have reserves compared with </w:t>
      </w:r>
      <w:r w:rsidR="00113669">
        <w:rPr>
          <w:rFonts w:cs="Arial"/>
        </w:rPr>
        <w:t>97% o</w:t>
      </w:r>
      <w:r w:rsidRPr="00195F7D">
        <w:rPr>
          <w:rFonts w:cs="Arial"/>
        </w:rPr>
        <w:t>f the biggest</w:t>
      </w:r>
      <w:r w:rsidR="00113669">
        <w:rPr>
          <w:rFonts w:cs="Arial"/>
        </w:rPr>
        <w:t xml:space="preserve"> organisations.</w:t>
      </w:r>
    </w:p>
    <w:p w14:paraId="15CFEE7B" w14:textId="77777777" w:rsidR="00195F7D" w:rsidRPr="00195F7D" w:rsidRDefault="00195F7D" w:rsidP="00AF458D">
      <w:pPr>
        <w:pStyle w:val="ListParagraph"/>
        <w:numPr>
          <w:ilvl w:val="0"/>
          <w:numId w:val="53"/>
        </w:numPr>
        <w:spacing w:after="80" w:line="300" w:lineRule="auto"/>
        <w:ind w:left="714" w:hanging="357"/>
        <w:contextualSpacing w:val="0"/>
        <w:rPr>
          <w:rFonts w:cs="Arial"/>
        </w:rPr>
      </w:pPr>
      <w:r w:rsidRPr="00195F7D">
        <w:rPr>
          <w:rFonts w:cs="Arial"/>
        </w:rPr>
        <w:t xml:space="preserve">Around 45% of TSOs have not drawn on their reserves in the last year, irrespective of size, that percentage is unchanged from 2022 but </w:t>
      </w:r>
      <w:proofErr w:type="gramStart"/>
      <w:r w:rsidRPr="00195F7D">
        <w:rPr>
          <w:rFonts w:cs="Arial"/>
        </w:rPr>
        <w:t>much</w:t>
      </w:r>
      <w:proofErr w:type="gramEnd"/>
      <w:r w:rsidRPr="00195F7D">
        <w:rPr>
          <w:rFonts w:cs="Arial"/>
        </w:rPr>
        <w:t xml:space="preserve"> higher than in 2019 (37%). </w:t>
      </w:r>
    </w:p>
    <w:p w14:paraId="64FC9BE7" w14:textId="25549CC5" w:rsidR="00195F7D" w:rsidRPr="00195F7D" w:rsidRDefault="00113669" w:rsidP="00AF458D">
      <w:pPr>
        <w:pStyle w:val="ListParagraph"/>
        <w:numPr>
          <w:ilvl w:val="0"/>
          <w:numId w:val="53"/>
        </w:numPr>
        <w:spacing w:after="80" w:line="300" w:lineRule="auto"/>
        <w:ind w:left="714" w:hanging="357"/>
        <w:contextualSpacing w:val="0"/>
        <w:rPr>
          <w:rFonts w:cs="Arial"/>
        </w:rPr>
      </w:pPr>
      <w:r>
        <w:rPr>
          <w:rFonts w:cs="Arial"/>
        </w:rPr>
        <w:t>Only 1</w:t>
      </w:r>
      <w:r w:rsidR="00195F7D" w:rsidRPr="00195F7D">
        <w:rPr>
          <w:rFonts w:cs="Arial"/>
        </w:rPr>
        <w:t>6% of organisations have invested reserves in new activities (rising from 11% of the smallest TSOs to 35% of the biggest).</w:t>
      </w:r>
    </w:p>
    <w:p w14:paraId="49F5E81A" w14:textId="77777777" w:rsidR="00195F7D" w:rsidRPr="00195F7D" w:rsidRDefault="00195F7D" w:rsidP="00AF458D">
      <w:pPr>
        <w:pStyle w:val="ListParagraph"/>
        <w:numPr>
          <w:ilvl w:val="0"/>
          <w:numId w:val="53"/>
        </w:numPr>
        <w:spacing w:after="80" w:line="300" w:lineRule="auto"/>
        <w:ind w:left="720"/>
        <w:contextualSpacing w:val="0"/>
        <w:rPr>
          <w:rFonts w:cs="Arial"/>
        </w:rPr>
      </w:pPr>
      <w:r w:rsidRPr="00195F7D">
        <w:rPr>
          <w:rFonts w:cs="Arial"/>
        </w:rPr>
        <w:t xml:space="preserve">Over a quarter of TSOs (27%) have used reserves for essential purposes such as rent or wages; rising from 21% of the smallest to 33% of the largest TSOs. </w:t>
      </w:r>
    </w:p>
    <w:p w14:paraId="79D5F898" w14:textId="77777777" w:rsidR="00195F7D" w:rsidRDefault="00195F7D" w:rsidP="00AF458D">
      <w:pPr>
        <w:spacing w:after="80" w:line="300" w:lineRule="auto"/>
        <w:rPr>
          <w:rFonts w:cs="Arial"/>
        </w:rPr>
      </w:pPr>
      <w:r w:rsidRPr="00195F7D">
        <w:rPr>
          <w:rFonts w:cs="Arial"/>
        </w:rPr>
        <w:t xml:space="preserve">Half of voluntary organisations in the most affluent areas did not need to draw upon reserves compared with 38% in the least-affluent areas. In the poorest areas, 33% of TSOs have drawn upon reserves for essential costs compared with 23% of voluntary organisations based in the most affluent areas. </w:t>
      </w:r>
    </w:p>
    <w:p w14:paraId="3B6C085D" w14:textId="77777777" w:rsidR="002E74CE" w:rsidRDefault="002E74CE" w:rsidP="00AF458D">
      <w:pPr>
        <w:spacing w:after="80" w:line="300" w:lineRule="auto"/>
      </w:pPr>
      <w:r>
        <w:t xml:space="preserve">Prior to the pandemic, only 34-37 of TSOs were able to leave reserves untouched. During the pandemic, </w:t>
      </w:r>
      <w:proofErr w:type="gramStart"/>
      <w:r>
        <w:t>many</w:t>
      </w:r>
      <w:proofErr w:type="gramEnd"/>
      <w:r>
        <w:t xml:space="preserve"> more organisations had unused reserves (45%) due to a period of </w:t>
      </w:r>
      <w:proofErr w:type="gramStart"/>
      <w:r>
        <w:t>relatively free-flowing</w:t>
      </w:r>
      <w:proofErr w:type="gramEnd"/>
      <w:r>
        <w:t xml:space="preserve"> unrestricted grants and giving. That level of unused reserves has been sustained in 2025. </w:t>
      </w:r>
    </w:p>
    <w:p w14:paraId="3A89BBAA" w14:textId="77777777" w:rsidR="002E74CE" w:rsidRDefault="002E74CE" w:rsidP="00AF458D">
      <w:pPr>
        <w:spacing w:after="80" w:line="300" w:lineRule="auto"/>
      </w:pPr>
      <w:r>
        <w:t xml:space="preserve">Between 2022 and 2025, the percentage of voluntary organisations using reserves for essential costs has </w:t>
      </w:r>
      <w:r w:rsidRPr="00895779">
        <w:t>fallen</w:t>
      </w:r>
      <w:r>
        <w:t xml:space="preserve"> from 30% to 27%. It is useful to note that the percentage of TSOs using reserves for essential costs has remained remarkably similar since 2013 – suggesting that there is always a portion of the sector which is struggling to </w:t>
      </w:r>
      <w:proofErr w:type="gramStart"/>
      <w:r>
        <w:t>some</w:t>
      </w:r>
      <w:proofErr w:type="gramEnd"/>
      <w:r>
        <w:t xml:space="preserve"> extent financially (though not necessarily the same organisations).</w:t>
      </w:r>
    </w:p>
    <w:p w14:paraId="37626AD0" w14:textId="77777777" w:rsidR="0053456F" w:rsidRPr="00280B84" w:rsidRDefault="0053456F">
      <w:pPr>
        <w:spacing w:after="160" w:line="259" w:lineRule="auto"/>
        <w:rPr>
          <w:sz w:val="4"/>
          <w:szCs w:val="4"/>
        </w:rPr>
      </w:pPr>
    </w:p>
    <w:p w14:paraId="70CF17C4" w14:textId="312316F4" w:rsidR="00195F7D" w:rsidRPr="008C7089" w:rsidRDefault="004E4CA2" w:rsidP="00AF458D">
      <w:pPr>
        <w:spacing w:after="80"/>
        <w:rPr>
          <w:rStyle w:val="PPsubheading"/>
          <w:rFonts w:eastAsiaTheme="minorHAnsi"/>
          <w:b w:val="0"/>
          <w:bCs w:val="0"/>
          <w:i w:val="0"/>
          <w:sz w:val="2"/>
          <w:szCs w:val="2"/>
        </w:rPr>
      </w:pPr>
      <w:proofErr w:type="gramStart"/>
      <w:r>
        <w:rPr>
          <w:rStyle w:val="PPsubheading"/>
          <w:rFonts w:eastAsia="Calibri"/>
          <w:bCs w:val="0"/>
        </w:rPr>
        <w:t>Many</w:t>
      </w:r>
      <w:proofErr w:type="gramEnd"/>
      <w:r>
        <w:rPr>
          <w:rStyle w:val="PPsubheading"/>
          <w:rFonts w:eastAsia="Calibri"/>
          <w:bCs w:val="0"/>
        </w:rPr>
        <w:t xml:space="preserve"> in the third sector have a </w:t>
      </w:r>
      <w:r w:rsidR="0053456F">
        <w:rPr>
          <w:rStyle w:val="PPsubheading"/>
          <w:rFonts w:eastAsia="Calibri"/>
          <w:bCs w:val="0"/>
        </w:rPr>
        <w:t xml:space="preserve">very </w:t>
      </w:r>
      <w:r>
        <w:rPr>
          <w:rStyle w:val="PPsubheading"/>
          <w:rFonts w:eastAsia="Calibri"/>
          <w:bCs w:val="0"/>
        </w:rPr>
        <w:t>positive outlook on future finances</w:t>
      </w:r>
    </w:p>
    <w:p w14:paraId="53CFC006" w14:textId="6A50745A" w:rsidR="00195F7D" w:rsidRPr="00195F7D" w:rsidRDefault="00195F7D" w:rsidP="00AF458D">
      <w:pPr>
        <w:spacing w:after="80" w:line="300" w:lineRule="auto"/>
        <w:rPr>
          <w:rFonts w:cs="Arial"/>
        </w:rPr>
      </w:pPr>
      <w:r w:rsidRPr="00195F7D">
        <w:rPr>
          <w:rFonts w:cs="Arial"/>
        </w:rPr>
        <w:t xml:space="preserve">Third Sector Trends’ triennial surveys ask respondents to make an assessment of their </w:t>
      </w:r>
      <w:proofErr w:type="gramStart"/>
      <w:r w:rsidRPr="00195F7D">
        <w:rPr>
          <w:rFonts w:cs="Arial"/>
        </w:rPr>
        <w:t>likely financial</w:t>
      </w:r>
      <w:proofErr w:type="gramEnd"/>
      <w:r w:rsidRPr="00195F7D">
        <w:rPr>
          <w:rFonts w:cs="Arial"/>
        </w:rPr>
        <w:t xml:space="preserve"> prospects over the next two years. Figure </w:t>
      </w:r>
      <w:r w:rsidR="002E74CE">
        <w:rPr>
          <w:rFonts w:cs="Arial"/>
        </w:rPr>
        <w:t>7</w:t>
      </w:r>
      <w:r w:rsidRPr="00195F7D">
        <w:rPr>
          <w:rFonts w:cs="Arial"/>
        </w:rPr>
        <w:t xml:space="preserve"> shows the percentage of TSOs which expected income to rise over the next two years (green line) while the blue line shows the percentage of TSOs which achieved this ambition.</w:t>
      </w:r>
    </w:p>
    <w:p w14:paraId="64068FE7" w14:textId="77777777" w:rsidR="00195F7D" w:rsidRPr="00195F7D" w:rsidRDefault="00195F7D" w:rsidP="00AF458D">
      <w:pPr>
        <w:spacing w:after="80" w:line="300" w:lineRule="auto"/>
        <w:rPr>
          <w:rFonts w:cs="Arial"/>
        </w:rPr>
      </w:pPr>
      <w:r w:rsidRPr="00195F7D">
        <w:rPr>
          <w:rFonts w:cs="Arial"/>
        </w:rPr>
        <w:t xml:space="preserve">In the early years of the study, optimism was </w:t>
      </w:r>
      <w:proofErr w:type="gramStart"/>
      <w:r w:rsidRPr="00195F7D">
        <w:rPr>
          <w:rFonts w:cs="Arial"/>
        </w:rPr>
        <w:t>relatively low</w:t>
      </w:r>
      <w:proofErr w:type="gramEnd"/>
      <w:r w:rsidRPr="00195F7D">
        <w:rPr>
          <w:rFonts w:cs="Arial"/>
        </w:rPr>
        <w:t xml:space="preserve"> due to anxieties about the consequences of government austerity policies following the global economic crash of 2008 (only 19% of TSOs felt optimistic about rising income in 2010). Optimism steadily rose to 36% by 2019, but fell back to 32% as the effects of the pandemic receded in 2022 and have now fallen again to 28% in 2025. </w:t>
      </w:r>
    </w:p>
    <w:p w14:paraId="6ACB7612" w14:textId="77777777" w:rsidR="00195F7D" w:rsidRPr="00195F7D" w:rsidRDefault="00195F7D" w:rsidP="00AF458D">
      <w:pPr>
        <w:spacing w:after="80" w:line="300" w:lineRule="auto"/>
        <w:rPr>
          <w:rFonts w:cs="Arial"/>
        </w:rPr>
      </w:pPr>
      <w:r w:rsidRPr="00195F7D">
        <w:rPr>
          <w:rFonts w:cs="Arial"/>
        </w:rPr>
        <w:t>While reality always falls well short of expectations, the percentage of TSOs with rising income has grown from a low point of 8% in 2010-11 to 18% in 2022 and 2025.</w:t>
      </w:r>
    </w:p>
    <w:p w14:paraId="11C025F2" w14:textId="77777777" w:rsidR="001E3322" w:rsidRDefault="001E3322">
      <w:pPr>
        <w:spacing w:after="160" w:line="259" w:lineRule="auto"/>
        <w:rPr>
          <w:rFonts w:cs="Arial"/>
        </w:rPr>
      </w:pPr>
      <w:r>
        <w:rPr>
          <w:rFonts w:cs="Arial"/>
        </w:rPr>
        <w:br w:type="page"/>
      </w:r>
    </w:p>
    <w:p w14:paraId="59A30EC2" w14:textId="2D5ADC3F" w:rsidR="00195F7D" w:rsidRPr="00B666F9" w:rsidRDefault="00195F7D" w:rsidP="00AF458D">
      <w:pPr>
        <w:spacing w:after="80" w:line="300" w:lineRule="auto"/>
        <w:ind w:left="992" w:hanging="992"/>
        <w:rPr>
          <w:rFonts w:cs="Arial"/>
          <w:sz w:val="18"/>
          <w:szCs w:val="18"/>
        </w:rPr>
      </w:pPr>
      <w:r w:rsidRPr="00195F7D">
        <w:rPr>
          <w:rFonts w:cs="Arial"/>
        </w:rPr>
        <w:lastRenderedPageBreak/>
        <w:t xml:space="preserve">Figure </w:t>
      </w:r>
      <w:r w:rsidR="004E4CA2">
        <w:rPr>
          <w:rFonts w:cs="Arial"/>
        </w:rPr>
        <w:t>4</w:t>
      </w:r>
      <w:r w:rsidRPr="00195F7D">
        <w:rPr>
          <w:rFonts w:cs="Arial"/>
        </w:rPr>
        <w:t xml:space="preserve">   </w:t>
      </w:r>
      <w:r w:rsidRPr="00195F7D">
        <w:rPr>
          <w:rFonts w:cs="Arial"/>
        </w:rPr>
        <w:tab/>
      </w:r>
      <w:r w:rsidRPr="00195F7D">
        <w:rPr>
          <w:rFonts w:cs="Arial"/>
          <w:b/>
          <w:bCs/>
        </w:rPr>
        <w:t xml:space="preserve">Tracking expectations and reality in TSOs’ income levels 2008-2028 </w:t>
      </w:r>
      <w:r w:rsidRPr="00B666F9">
        <w:rPr>
          <w:rFonts w:cs="Arial"/>
          <w:sz w:val="18"/>
          <w:szCs w:val="18"/>
        </w:rPr>
        <w:t>(Third Sector Trends surveys, 2010 n=1,027, 2013 n=2,288, 2015 n=3,525, 2019 n=4,011, 2022 n=6,070, 2025 n=8,680)</w:t>
      </w:r>
    </w:p>
    <w:p w14:paraId="5F7A0FE0" w14:textId="77777777" w:rsidR="00195F7D" w:rsidRPr="00195F7D" w:rsidRDefault="00195F7D" w:rsidP="00AF458D">
      <w:pPr>
        <w:spacing w:after="80" w:line="300" w:lineRule="auto"/>
        <w:ind w:left="1417" w:hanging="1417"/>
        <w:rPr>
          <w:rFonts w:cs="Arial"/>
        </w:rPr>
      </w:pPr>
      <w:r w:rsidRPr="00195F7D">
        <w:rPr>
          <w:rFonts w:cs="Arial"/>
          <w:noProof/>
        </w:rPr>
        <w:drawing>
          <wp:inline distT="0" distB="0" distL="0" distR="0" wp14:anchorId="093EA023" wp14:editId="0FFB46F8">
            <wp:extent cx="5567121" cy="2898140"/>
            <wp:effectExtent l="0" t="0" r="0" b="0"/>
            <wp:docPr id="843409977" name="Picture 9" descr="A graph with green line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09977" name="Picture 9" descr="A graph with green line and blue lin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3059" cy="2927260"/>
                    </a:xfrm>
                    <a:prstGeom prst="rect">
                      <a:avLst/>
                    </a:prstGeom>
                    <a:noFill/>
                  </pic:spPr>
                </pic:pic>
              </a:graphicData>
            </a:graphic>
          </wp:inline>
        </w:drawing>
      </w:r>
    </w:p>
    <w:p w14:paraId="2E19B9C9" w14:textId="77777777" w:rsidR="00FB7E06" w:rsidRDefault="00FB7E06" w:rsidP="00AF458D">
      <w:pPr>
        <w:spacing w:after="80" w:line="300" w:lineRule="auto"/>
        <w:rPr>
          <w:rFonts w:cs="Arial"/>
        </w:rPr>
      </w:pPr>
    </w:p>
    <w:p w14:paraId="214D36D3" w14:textId="35DE596F" w:rsidR="00B666F9" w:rsidRPr="00195F7D" w:rsidRDefault="00B666F9" w:rsidP="00AF458D">
      <w:pPr>
        <w:spacing w:after="80" w:line="300" w:lineRule="auto"/>
        <w:rPr>
          <w:rFonts w:cs="Arial"/>
        </w:rPr>
      </w:pPr>
      <w:r>
        <w:rPr>
          <w:rFonts w:cs="Arial"/>
        </w:rPr>
        <w:t>As report author, Professor Tony Chapman, Durham University concluded:</w:t>
      </w:r>
    </w:p>
    <w:p w14:paraId="5428D0B3" w14:textId="2C912C30" w:rsidR="00B666F9" w:rsidRPr="00B666F9" w:rsidRDefault="00B666F9" w:rsidP="00DB1A6E">
      <w:pPr>
        <w:spacing w:after="80" w:line="300" w:lineRule="auto"/>
        <w:ind w:left="720"/>
        <w:rPr>
          <w:rFonts w:cs="Arial"/>
          <w:b/>
          <w:bCs/>
          <w:i/>
          <w:iCs/>
        </w:rPr>
      </w:pPr>
      <w:r>
        <w:rPr>
          <w:rFonts w:cs="Arial"/>
          <w:b/>
          <w:bCs/>
          <w:i/>
          <w:iCs/>
        </w:rPr>
        <w:t>“E</w:t>
      </w:r>
      <w:r w:rsidRPr="00B666F9">
        <w:rPr>
          <w:rFonts w:cs="Arial"/>
          <w:b/>
          <w:bCs/>
          <w:i/>
          <w:iCs/>
        </w:rPr>
        <w:t xml:space="preserve">xternal factors </w:t>
      </w:r>
      <w:r>
        <w:rPr>
          <w:rFonts w:cs="Arial"/>
          <w:b/>
          <w:bCs/>
          <w:i/>
          <w:iCs/>
        </w:rPr>
        <w:t xml:space="preserve">can shape </w:t>
      </w:r>
      <w:r w:rsidRPr="00B666F9">
        <w:rPr>
          <w:rFonts w:cs="Arial"/>
          <w:b/>
          <w:bCs/>
          <w:i/>
          <w:iCs/>
        </w:rPr>
        <w:t xml:space="preserve">the financial prospects of TSOs, such as national economic and labour market conditions, government action that </w:t>
      </w:r>
      <w:proofErr w:type="gramStart"/>
      <w:r w:rsidRPr="00B666F9">
        <w:rPr>
          <w:rFonts w:cs="Arial"/>
          <w:b/>
          <w:bCs/>
          <w:i/>
          <w:iCs/>
        </w:rPr>
        <w:t>substantia</w:t>
      </w:r>
      <w:r w:rsidR="00286511">
        <w:rPr>
          <w:rFonts w:cs="Arial"/>
          <w:b/>
          <w:bCs/>
          <w:i/>
          <w:iCs/>
        </w:rPr>
        <w:t>l</w:t>
      </w:r>
      <w:r w:rsidRPr="00B666F9">
        <w:rPr>
          <w:rFonts w:cs="Arial"/>
          <w:b/>
          <w:bCs/>
          <w:i/>
          <w:iCs/>
        </w:rPr>
        <w:t>l</w:t>
      </w:r>
      <w:r w:rsidR="00286511">
        <w:rPr>
          <w:rFonts w:cs="Arial"/>
          <w:b/>
          <w:bCs/>
          <w:i/>
          <w:iCs/>
        </w:rPr>
        <w:t>y</w:t>
      </w:r>
      <w:r w:rsidRPr="00B666F9">
        <w:rPr>
          <w:rFonts w:cs="Arial"/>
          <w:b/>
          <w:bCs/>
          <w:i/>
          <w:iCs/>
        </w:rPr>
        <w:t xml:space="preserve"> increase</w:t>
      </w:r>
      <w:proofErr w:type="gramEnd"/>
      <w:r w:rsidRPr="00B666F9">
        <w:rPr>
          <w:rFonts w:cs="Arial"/>
          <w:b/>
          <w:bCs/>
          <w:i/>
          <w:iCs/>
        </w:rPr>
        <w:t xml:space="preserve"> cost</w:t>
      </w:r>
      <w:r w:rsidR="00286511">
        <w:rPr>
          <w:rFonts w:cs="Arial"/>
          <w:b/>
          <w:bCs/>
          <w:i/>
          <w:iCs/>
        </w:rPr>
        <w:t>s</w:t>
      </w:r>
      <w:r w:rsidRPr="00B666F9">
        <w:rPr>
          <w:rFonts w:cs="Arial"/>
          <w:b/>
          <w:bCs/>
          <w:i/>
          <w:iCs/>
        </w:rPr>
        <w:t xml:space="preserve"> </w:t>
      </w:r>
      <w:r w:rsidR="00AF458D">
        <w:rPr>
          <w:rFonts w:cs="Arial"/>
          <w:b/>
          <w:bCs/>
          <w:i/>
          <w:iCs/>
        </w:rPr>
        <w:t>s</w:t>
      </w:r>
      <w:r w:rsidRPr="00B666F9">
        <w:rPr>
          <w:rFonts w:cs="Arial"/>
          <w:b/>
          <w:bCs/>
          <w:i/>
          <w:iCs/>
        </w:rPr>
        <w:t>uch as  National Insurance Contributions and the National Minimum Wage</w:t>
      </w:r>
      <w:r w:rsidR="00AF458D">
        <w:rPr>
          <w:rFonts w:cs="Arial"/>
          <w:b/>
          <w:bCs/>
          <w:i/>
          <w:iCs/>
        </w:rPr>
        <w:t>,</w:t>
      </w:r>
      <w:r w:rsidRPr="00B666F9">
        <w:rPr>
          <w:rFonts w:cs="Arial"/>
          <w:b/>
          <w:bCs/>
          <w:i/>
          <w:iCs/>
        </w:rPr>
        <w:t xml:space="preserve"> or significant shifts in the social objectives of trusts and foundations. </w:t>
      </w:r>
    </w:p>
    <w:p w14:paraId="3CDB56A4" w14:textId="5414D60C" w:rsidR="00B666F9" w:rsidRDefault="00B666F9" w:rsidP="00DB1A6E">
      <w:pPr>
        <w:spacing w:after="80" w:line="300" w:lineRule="auto"/>
        <w:ind w:left="720"/>
        <w:rPr>
          <w:rFonts w:cs="Arial"/>
          <w:b/>
          <w:bCs/>
          <w:i/>
          <w:iCs/>
        </w:rPr>
      </w:pPr>
      <w:r>
        <w:rPr>
          <w:rFonts w:cs="Arial"/>
          <w:b/>
          <w:bCs/>
          <w:i/>
          <w:iCs/>
        </w:rPr>
        <w:t xml:space="preserve">But to blame </w:t>
      </w:r>
      <w:r w:rsidRPr="00B666F9">
        <w:rPr>
          <w:rFonts w:cs="Arial"/>
          <w:b/>
          <w:bCs/>
          <w:i/>
          <w:iCs/>
        </w:rPr>
        <w:t xml:space="preserve">external forces </w:t>
      </w:r>
      <w:r>
        <w:rPr>
          <w:rFonts w:cs="Arial"/>
          <w:b/>
          <w:bCs/>
          <w:i/>
          <w:iCs/>
        </w:rPr>
        <w:t xml:space="preserve">alone for the plight of </w:t>
      </w:r>
      <w:r w:rsidRPr="00B666F9">
        <w:rPr>
          <w:rFonts w:cs="Arial"/>
          <w:b/>
          <w:bCs/>
          <w:i/>
          <w:iCs/>
        </w:rPr>
        <w:t xml:space="preserve">voluntary organisations’ financial prospects </w:t>
      </w:r>
      <w:r>
        <w:rPr>
          <w:rFonts w:cs="Arial"/>
          <w:b/>
          <w:bCs/>
          <w:i/>
          <w:iCs/>
        </w:rPr>
        <w:t xml:space="preserve">is </w:t>
      </w:r>
      <w:r w:rsidRPr="00B666F9">
        <w:rPr>
          <w:rFonts w:cs="Arial"/>
          <w:b/>
          <w:bCs/>
          <w:i/>
          <w:iCs/>
        </w:rPr>
        <w:t xml:space="preserve">a </w:t>
      </w:r>
      <w:r>
        <w:rPr>
          <w:rFonts w:cs="Arial"/>
          <w:b/>
          <w:bCs/>
          <w:i/>
          <w:iCs/>
        </w:rPr>
        <w:t>serious</w:t>
      </w:r>
      <w:r w:rsidRPr="00B666F9">
        <w:rPr>
          <w:rFonts w:cs="Arial"/>
          <w:b/>
          <w:bCs/>
          <w:i/>
          <w:iCs/>
        </w:rPr>
        <w:t xml:space="preserve"> mistake. </w:t>
      </w:r>
      <w:r>
        <w:rPr>
          <w:rFonts w:cs="Arial"/>
          <w:b/>
          <w:bCs/>
          <w:i/>
          <w:iCs/>
        </w:rPr>
        <w:t>The laudable, but e</w:t>
      </w:r>
      <w:r w:rsidRPr="00B666F9">
        <w:rPr>
          <w:rFonts w:cs="Arial"/>
          <w:b/>
          <w:bCs/>
          <w:i/>
          <w:iCs/>
        </w:rPr>
        <w:t xml:space="preserve">xtremely </w:t>
      </w:r>
      <w:proofErr w:type="gramStart"/>
      <w:r w:rsidRPr="00B666F9">
        <w:rPr>
          <w:rFonts w:cs="Arial"/>
          <w:b/>
          <w:bCs/>
          <w:i/>
          <w:iCs/>
        </w:rPr>
        <w:t>high levels</w:t>
      </w:r>
      <w:proofErr w:type="gramEnd"/>
      <w:r w:rsidRPr="00B666F9">
        <w:rPr>
          <w:rFonts w:cs="Arial"/>
          <w:b/>
          <w:bCs/>
          <w:i/>
          <w:iCs/>
        </w:rPr>
        <w:t xml:space="preserve"> of ambition </w:t>
      </w:r>
      <w:r>
        <w:rPr>
          <w:rFonts w:cs="Arial"/>
          <w:b/>
          <w:bCs/>
          <w:i/>
          <w:iCs/>
        </w:rPr>
        <w:t xml:space="preserve">amongst charities </w:t>
      </w:r>
      <w:r w:rsidRPr="00B666F9">
        <w:rPr>
          <w:rFonts w:cs="Arial"/>
          <w:b/>
          <w:bCs/>
          <w:i/>
          <w:iCs/>
        </w:rPr>
        <w:t>to achieve their social objectives has the inevitable consequence of producing intense competition over finite financial resources</w:t>
      </w:r>
      <w:r>
        <w:rPr>
          <w:rFonts w:cs="Arial"/>
          <w:b/>
          <w:bCs/>
          <w:i/>
          <w:iCs/>
        </w:rPr>
        <w:t xml:space="preserve">. This </w:t>
      </w:r>
      <w:r w:rsidRPr="00B666F9">
        <w:rPr>
          <w:rFonts w:cs="Arial"/>
          <w:b/>
          <w:bCs/>
          <w:i/>
          <w:iCs/>
        </w:rPr>
        <w:t>means that there will always be winners and losers in financial terms.</w:t>
      </w:r>
      <w:r>
        <w:rPr>
          <w:rFonts w:cs="Arial"/>
          <w:b/>
          <w:bCs/>
          <w:i/>
          <w:iCs/>
        </w:rPr>
        <w:t>”</w:t>
      </w:r>
    </w:p>
    <w:p w14:paraId="18790482" w14:textId="278801BF" w:rsidR="008F7A5E" w:rsidRPr="00195F7D" w:rsidRDefault="008F7A5E" w:rsidP="00AF458D">
      <w:pPr>
        <w:spacing w:after="80" w:line="300" w:lineRule="auto"/>
        <w:rPr>
          <w:rFonts w:cs="Arial"/>
        </w:rPr>
      </w:pPr>
    </w:p>
    <w:bookmarkEnd w:id="0"/>
    <w:p w14:paraId="667E3F22" w14:textId="64985CF1" w:rsidR="0071557C" w:rsidRPr="00195F7D" w:rsidRDefault="0071557C" w:rsidP="00AF458D">
      <w:pPr>
        <w:spacing w:after="80" w:line="300" w:lineRule="auto"/>
        <w:rPr>
          <w:rFonts w:cs="Arial"/>
          <w:b/>
          <w:bCs/>
        </w:rPr>
      </w:pPr>
      <w:r w:rsidRPr="00195F7D">
        <w:rPr>
          <w:rFonts w:cs="Arial"/>
          <w:b/>
          <w:bCs/>
        </w:rPr>
        <w:t>…ends</w:t>
      </w:r>
    </w:p>
    <w:p w14:paraId="6B916F70" w14:textId="77777777" w:rsidR="00EC13AF" w:rsidRPr="00195F7D" w:rsidRDefault="00EC13AF" w:rsidP="00AF458D">
      <w:pPr>
        <w:spacing w:after="80" w:line="300" w:lineRule="auto"/>
        <w:rPr>
          <w:rFonts w:cs="Arial"/>
          <w:b/>
          <w:bCs/>
          <w:u w:val="single"/>
        </w:rPr>
      </w:pPr>
    </w:p>
    <w:p w14:paraId="27502F68" w14:textId="77777777" w:rsidR="001E3322" w:rsidRDefault="001E3322">
      <w:pPr>
        <w:spacing w:after="160" w:line="259" w:lineRule="auto"/>
        <w:rPr>
          <w:rFonts w:cs="Arial"/>
          <w:b/>
          <w:bCs/>
          <w:u w:val="single"/>
        </w:rPr>
      </w:pPr>
      <w:r>
        <w:rPr>
          <w:rFonts w:cs="Arial"/>
          <w:b/>
          <w:bCs/>
          <w:u w:val="single"/>
        </w:rPr>
        <w:br w:type="page"/>
      </w:r>
    </w:p>
    <w:p w14:paraId="1448E561" w14:textId="137C6C37" w:rsidR="0071557C" w:rsidRPr="00195F7D" w:rsidRDefault="0071557C" w:rsidP="00AF458D">
      <w:pPr>
        <w:spacing w:after="80" w:line="300" w:lineRule="auto"/>
        <w:rPr>
          <w:rFonts w:cs="Arial"/>
          <w:b/>
          <w:bCs/>
          <w:u w:val="single"/>
        </w:rPr>
      </w:pPr>
      <w:r w:rsidRPr="00195F7D">
        <w:rPr>
          <w:rFonts w:cs="Arial"/>
          <w:b/>
          <w:bCs/>
          <w:u w:val="single"/>
        </w:rPr>
        <w:lastRenderedPageBreak/>
        <w:t>NOTE TO EDITORS</w:t>
      </w:r>
    </w:p>
    <w:p w14:paraId="4B946E8A" w14:textId="191A27BC" w:rsidR="0071557C" w:rsidRPr="00195F7D" w:rsidRDefault="0071557C" w:rsidP="00AF458D">
      <w:pPr>
        <w:spacing w:after="80" w:line="300" w:lineRule="auto"/>
        <w:rPr>
          <w:rFonts w:cs="Arial"/>
        </w:rPr>
      </w:pPr>
      <w:r w:rsidRPr="00195F7D">
        <w:rPr>
          <w:rFonts w:cs="Arial"/>
        </w:rPr>
        <w:t>Third Sector Trends was established</w:t>
      </w:r>
      <w:r w:rsidR="00CE59AE" w:rsidRPr="00195F7D">
        <w:rPr>
          <w:rFonts w:cs="Arial"/>
        </w:rPr>
        <w:t xml:space="preserve"> by Northern Rock Foundation</w:t>
      </w:r>
      <w:r w:rsidRPr="00195F7D">
        <w:rPr>
          <w:rFonts w:cs="Arial"/>
        </w:rPr>
        <w:t xml:space="preserve"> in 2008 and is the largest and longest running empirical study of the sector in the UK</w:t>
      </w:r>
      <w:r w:rsidR="0046051A" w:rsidRPr="00195F7D">
        <w:rPr>
          <w:rFonts w:cs="Arial"/>
        </w:rPr>
        <w:t>. Community Foundation North East and St Chad’s College, Durham University are now responsible for the study’s legacy and continuation.</w:t>
      </w:r>
    </w:p>
    <w:p w14:paraId="186175BC" w14:textId="24C7F532" w:rsidR="0071557C" w:rsidRPr="00195F7D" w:rsidRDefault="0071557C" w:rsidP="00AF458D">
      <w:pPr>
        <w:spacing w:after="80" w:line="300" w:lineRule="auto"/>
        <w:rPr>
          <w:rFonts w:cs="Arial"/>
        </w:rPr>
      </w:pPr>
      <w:r w:rsidRPr="00195F7D">
        <w:rPr>
          <w:rFonts w:cs="Arial"/>
        </w:rPr>
        <w:t xml:space="preserve">The analysis is underpinned by a dataset of </w:t>
      </w:r>
      <w:r w:rsidR="0076102A" w:rsidRPr="00195F7D">
        <w:rPr>
          <w:rFonts w:cs="Arial"/>
        </w:rPr>
        <w:t>205,000</w:t>
      </w:r>
      <w:r w:rsidRPr="00195F7D">
        <w:rPr>
          <w:rFonts w:cs="Arial"/>
        </w:rPr>
        <w:t xml:space="preserve"> organisations drawn from the full range of registers of non-profit organisations so that survey evidence can be scaled-up reliably to produce credible and convincing findings on sector activities. It is designed to complement rather than replicate findings from the </w:t>
      </w:r>
      <w:r w:rsidRPr="00195F7D">
        <w:rPr>
          <w:rFonts w:cs="Arial"/>
          <w:b/>
          <w:bCs/>
        </w:rPr>
        <w:t>NCVO UK Civil Society Almanac</w:t>
      </w:r>
      <w:r w:rsidR="0076102A" w:rsidRPr="00195F7D">
        <w:rPr>
          <w:rFonts w:cs="Arial"/>
          <w:b/>
          <w:bCs/>
        </w:rPr>
        <w:t>, Charity Commission</w:t>
      </w:r>
      <w:r w:rsidRPr="00195F7D">
        <w:rPr>
          <w:rFonts w:cs="Arial"/>
        </w:rPr>
        <w:t xml:space="preserve"> and </w:t>
      </w:r>
      <w:r w:rsidRPr="00195F7D">
        <w:rPr>
          <w:rFonts w:cs="Arial"/>
          <w:b/>
          <w:bCs/>
        </w:rPr>
        <w:t>360 Giving</w:t>
      </w:r>
      <w:r w:rsidRPr="00195F7D">
        <w:rPr>
          <w:rFonts w:cs="Arial"/>
        </w:rPr>
        <w:t>.</w:t>
      </w:r>
    </w:p>
    <w:p w14:paraId="6DEE595A" w14:textId="02C37573" w:rsidR="0071557C" w:rsidRPr="00195F7D" w:rsidRDefault="00093F52" w:rsidP="00AF458D">
      <w:pPr>
        <w:spacing w:after="80" w:line="300" w:lineRule="auto"/>
        <w:rPr>
          <w:rFonts w:cs="Arial"/>
        </w:rPr>
      </w:pPr>
      <w:r w:rsidRPr="00195F7D">
        <w:rPr>
          <w:rFonts w:cs="Arial"/>
        </w:rPr>
        <w:t xml:space="preserve">This is the sixth iteration of the triennial survey which began in 2010. </w:t>
      </w:r>
      <w:r w:rsidR="0071557C" w:rsidRPr="00195F7D">
        <w:rPr>
          <w:rFonts w:cs="Arial"/>
        </w:rPr>
        <w:t>In 202</w:t>
      </w:r>
      <w:r w:rsidR="0076102A" w:rsidRPr="00195F7D">
        <w:rPr>
          <w:rFonts w:cs="Arial"/>
        </w:rPr>
        <w:t>5</w:t>
      </w:r>
      <w:r w:rsidR="0071557C" w:rsidRPr="00195F7D">
        <w:rPr>
          <w:rFonts w:cs="Arial"/>
        </w:rPr>
        <w:t xml:space="preserve">, its survey which closed on </w:t>
      </w:r>
      <w:r w:rsidR="0076102A" w:rsidRPr="00195F7D">
        <w:rPr>
          <w:rFonts w:cs="Arial"/>
        </w:rPr>
        <w:t>30</w:t>
      </w:r>
      <w:r w:rsidR="0076102A" w:rsidRPr="00195F7D">
        <w:rPr>
          <w:rFonts w:cs="Arial"/>
          <w:vertAlign w:val="superscript"/>
        </w:rPr>
        <w:t>th</w:t>
      </w:r>
      <w:r w:rsidR="0076102A" w:rsidRPr="00195F7D">
        <w:rPr>
          <w:rFonts w:cs="Arial"/>
        </w:rPr>
        <w:t xml:space="preserve"> September</w:t>
      </w:r>
      <w:r w:rsidR="0071557C" w:rsidRPr="00195F7D">
        <w:rPr>
          <w:rFonts w:cs="Arial"/>
        </w:rPr>
        <w:t xml:space="preserve"> received a national</w:t>
      </w:r>
      <w:r w:rsidR="0076102A" w:rsidRPr="00195F7D">
        <w:rPr>
          <w:rFonts w:cs="Arial"/>
        </w:rPr>
        <w:t xml:space="preserve"> and fully </w:t>
      </w:r>
      <w:r w:rsidR="0071557C" w:rsidRPr="00195F7D">
        <w:rPr>
          <w:rFonts w:cs="Arial"/>
        </w:rPr>
        <w:t xml:space="preserve">representative sample of over </w:t>
      </w:r>
      <w:r w:rsidR="0076102A" w:rsidRPr="00195F7D">
        <w:rPr>
          <w:rFonts w:cs="Arial"/>
        </w:rPr>
        <w:t xml:space="preserve">8,680 </w:t>
      </w:r>
      <w:r w:rsidR="0071557C" w:rsidRPr="00195F7D">
        <w:rPr>
          <w:rFonts w:cs="Arial"/>
        </w:rPr>
        <w:t>responses from across England and Wales. The survey runs every three years. Analysis of the findings from the survey will be released</w:t>
      </w:r>
      <w:r w:rsidR="0076102A" w:rsidRPr="00195F7D">
        <w:rPr>
          <w:rFonts w:cs="Arial"/>
        </w:rPr>
        <w:t xml:space="preserve"> o</w:t>
      </w:r>
      <w:r w:rsidR="0071557C" w:rsidRPr="00195F7D">
        <w:rPr>
          <w:rFonts w:cs="Arial"/>
        </w:rPr>
        <w:t xml:space="preserve">ver the next </w:t>
      </w:r>
      <w:r w:rsidR="0076102A" w:rsidRPr="00195F7D">
        <w:rPr>
          <w:rFonts w:cs="Arial"/>
        </w:rPr>
        <w:t>six</w:t>
      </w:r>
      <w:r w:rsidR="0071557C" w:rsidRPr="00195F7D">
        <w:rPr>
          <w:rFonts w:cs="Arial"/>
        </w:rPr>
        <w:t xml:space="preserve"> months on separate topics including: </w:t>
      </w:r>
    </w:p>
    <w:p w14:paraId="298DD66E" w14:textId="76B1E3F2" w:rsidR="0076102A" w:rsidRPr="00195F7D" w:rsidRDefault="0076102A" w:rsidP="00AF458D">
      <w:pPr>
        <w:numPr>
          <w:ilvl w:val="0"/>
          <w:numId w:val="7"/>
        </w:numPr>
        <w:spacing w:after="80" w:line="300" w:lineRule="auto"/>
        <w:ind w:left="714" w:hanging="357"/>
        <w:rPr>
          <w:rFonts w:cs="Arial"/>
        </w:rPr>
      </w:pPr>
      <w:r w:rsidRPr="00195F7D">
        <w:rPr>
          <w:rFonts w:cs="Arial"/>
        </w:rPr>
        <w:t>Relationships</w:t>
      </w:r>
      <w:r w:rsidR="00093F52" w:rsidRPr="00195F7D">
        <w:rPr>
          <w:rFonts w:cs="Arial"/>
        </w:rPr>
        <w:t xml:space="preserve">, influencing and </w:t>
      </w:r>
      <w:r w:rsidRPr="00195F7D">
        <w:rPr>
          <w:rFonts w:cs="Arial"/>
        </w:rPr>
        <w:t xml:space="preserve">partnership working </w:t>
      </w:r>
      <w:r w:rsidR="00093F52" w:rsidRPr="00195F7D">
        <w:rPr>
          <w:rFonts w:cs="Arial"/>
        </w:rPr>
        <w:t>(October 2025)</w:t>
      </w:r>
    </w:p>
    <w:p w14:paraId="0FEFC33D" w14:textId="4B6F2378" w:rsidR="0071557C" w:rsidRPr="00195F7D" w:rsidRDefault="0071557C" w:rsidP="00AF458D">
      <w:pPr>
        <w:numPr>
          <w:ilvl w:val="0"/>
          <w:numId w:val="7"/>
        </w:numPr>
        <w:spacing w:after="80" w:line="300" w:lineRule="auto"/>
        <w:ind w:left="714" w:hanging="357"/>
        <w:rPr>
          <w:rFonts w:cs="Arial"/>
        </w:rPr>
      </w:pPr>
      <w:r w:rsidRPr="00195F7D">
        <w:rPr>
          <w:rFonts w:cs="Arial"/>
        </w:rPr>
        <w:t xml:space="preserve">People in the </w:t>
      </w:r>
      <w:r w:rsidR="0076102A" w:rsidRPr="00195F7D">
        <w:rPr>
          <w:rFonts w:cs="Arial"/>
        </w:rPr>
        <w:t>voluntary s</w:t>
      </w:r>
      <w:r w:rsidRPr="00195F7D">
        <w:rPr>
          <w:rFonts w:cs="Arial"/>
        </w:rPr>
        <w:t>ector</w:t>
      </w:r>
      <w:r w:rsidR="0076102A" w:rsidRPr="00195F7D">
        <w:rPr>
          <w:rFonts w:cs="Arial"/>
        </w:rPr>
        <w:t xml:space="preserve"> and the social impact</w:t>
      </w:r>
      <w:r w:rsidRPr="00195F7D">
        <w:rPr>
          <w:rFonts w:cs="Arial"/>
        </w:rPr>
        <w:t xml:space="preserve"> </w:t>
      </w:r>
      <w:r w:rsidR="00093F52" w:rsidRPr="00195F7D">
        <w:rPr>
          <w:rFonts w:cs="Arial"/>
        </w:rPr>
        <w:t xml:space="preserve">they produce </w:t>
      </w:r>
      <w:r w:rsidRPr="00195F7D">
        <w:rPr>
          <w:rFonts w:cs="Arial"/>
        </w:rPr>
        <w:t>(</w:t>
      </w:r>
      <w:r w:rsidR="00657E22" w:rsidRPr="00195F7D">
        <w:rPr>
          <w:rFonts w:cs="Arial"/>
        </w:rPr>
        <w:t>Decemb</w:t>
      </w:r>
      <w:r w:rsidR="0076102A" w:rsidRPr="00195F7D">
        <w:rPr>
          <w:rFonts w:cs="Arial"/>
        </w:rPr>
        <w:t xml:space="preserve">er </w:t>
      </w:r>
      <w:r w:rsidRPr="00195F7D">
        <w:rPr>
          <w:rFonts w:cs="Arial"/>
        </w:rPr>
        <w:t>202</w:t>
      </w:r>
      <w:r w:rsidR="0076102A" w:rsidRPr="00195F7D">
        <w:rPr>
          <w:rFonts w:cs="Arial"/>
        </w:rPr>
        <w:t>5</w:t>
      </w:r>
      <w:r w:rsidRPr="00195F7D">
        <w:rPr>
          <w:rFonts w:cs="Arial"/>
        </w:rPr>
        <w:t>)</w:t>
      </w:r>
    </w:p>
    <w:p w14:paraId="7C21AB56" w14:textId="6B41351C" w:rsidR="0071557C" w:rsidRPr="00195F7D" w:rsidRDefault="0071557C" w:rsidP="00AF458D">
      <w:pPr>
        <w:numPr>
          <w:ilvl w:val="0"/>
          <w:numId w:val="7"/>
        </w:numPr>
        <w:spacing w:after="80" w:line="300" w:lineRule="auto"/>
        <w:ind w:left="714" w:hanging="357"/>
        <w:rPr>
          <w:rFonts w:cs="Arial"/>
        </w:rPr>
      </w:pPr>
      <w:r w:rsidRPr="00195F7D">
        <w:rPr>
          <w:rFonts w:cs="Arial"/>
        </w:rPr>
        <w:t xml:space="preserve">Finance, assets and </w:t>
      </w:r>
      <w:r w:rsidR="00093F52" w:rsidRPr="00195F7D">
        <w:rPr>
          <w:rFonts w:cs="Arial"/>
        </w:rPr>
        <w:t xml:space="preserve">the </w:t>
      </w:r>
      <w:r w:rsidRPr="00195F7D">
        <w:rPr>
          <w:rFonts w:cs="Arial"/>
        </w:rPr>
        <w:t>wellbeing</w:t>
      </w:r>
      <w:r w:rsidR="00093F52" w:rsidRPr="00195F7D">
        <w:rPr>
          <w:rFonts w:cs="Arial"/>
        </w:rPr>
        <w:t xml:space="preserve"> of voluntary organisations</w:t>
      </w:r>
      <w:r w:rsidRPr="00195F7D">
        <w:rPr>
          <w:rFonts w:cs="Arial"/>
        </w:rPr>
        <w:t xml:space="preserve"> (January 202</w:t>
      </w:r>
      <w:r w:rsidR="0076102A" w:rsidRPr="00195F7D">
        <w:rPr>
          <w:rFonts w:cs="Arial"/>
        </w:rPr>
        <w:t>6</w:t>
      </w:r>
      <w:r w:rsidRPr="00195F7D">
        <w:rPr>
          <w:rFonts w:cs="Arial"/>
        </w:rPr>
        <w:t>)</w:t>
      </w:r>
    </w:p>
    <w:p w14:paraId="30B7CED1" w14:textId="25D09C74" w:rsidR="0071557C" w:rsidRPr="00195F7D" w:rsidRDefault="0071557C" w:rsidP="00AF458D">
      <w:pPr>
        <w:numPr>
          <w:ilvl w:val="0"/>
          <w:numId w:val="7"/>
        </w:numPr>
        <w:spacing w:after="80" w:line="300" w:lineRule="auto"/>
        <w:ind w:left="714" w:hanging="357"/>
        <w:rPr>
          <w:rFonts w:cs="Arial"/>
        </w:rPr>
      </w:pPr>
      <w:r w:rsidRPr="00195F7D">
        <w:rPr>
          <w:rFonts w:cs="Arial"/>
        </w:rPr>
        <w:t xml:space="preserve">The contribution of the </w:t>
      </w:r>
      <w:r w:rsidR="00093F52" w:rsidRPr="00195F7D">
        <w:rPr>
          <w:rFonts w:cs="Arial"/>
        </w:rPr>
        <w:t>voluntary s</w:t>
      </w:r>
      <w:r w:rsidRPr="00195F7D">
        <w:rPr>
          <w:rFonts w:cs="Arial"/>
        </w:rPr>
        <w:t xml:space="preserve">ector to </w:t>
      </w:r>
      <w:r w:rsidR="00093F52" w:rsidRPr="00195F7D">
        <w:rPr>
          <w:rFonts w:cs="Arial"/>
        </w:rPr>
        <w:t>place</w:t>
      </w:r>
      <w:r w:rsidR="00F22EA5">
        <w:rPr>
          <w:rFonts w:cs="Arial"/>
        </w:rPr>
        <w:t>: a study of North East England in comparative context</w:t>
      </w:r>
      <w:r w:rsidR="00093F52" w:rsidRPr="00195F7D">
        <w:rPr>
          <w:rFonts w:cs="Arial"/>
        </w:rPr>
        <w:t xml:space="preserve"> </w:t>
      </w:r>
      <w:r w:rsidRPr="00195F7D">
        <w:rPr>
          <w:rFonts w:cs="Arial"/>
        </w:rPr>
        <w:t>(</w:t>
      </w:r>
      <w:r w:rsidR="00093F52" w:rsidRPr="00195F7D">
        <w:rPr>
          <w:rFonts w:cs="Arial"/>
        </w:rPr>
        <w:t>February 202</w:t>
      </w:r>
      <w:r w:rsidR="00720DCC" w:rsidRPr="00195F7D">
        <w:rPr>
          <w:rFonts w:cs="Arial"/>
        </w:rPr>
        <w:t>6</w:t>
      </w:r>
      <w:r w:rsidRPr="00195F7D">
        <w:rPr>
          <w:rFonts w:cs="Arial"/>
        </w:rPr>
        <w:t>)</w:t>
      </w:r>
    </w:p>
    <w:p w14:paraId="1864DD37" w14:textId="3E4E6037" w:rsidR="00720DCC" w:rsidRPr="00195F7D" w:rsidRDefault="00F22EA5" w:rsidP="00AF458D">
      <w:pPr>
        <w:numPr>
          <w:ilvl w:val="0"/>
          <w:numId w:val="7"/>
        </w:numPr>
        <w:spacing w:after="80" w:line="300" w:lineRule="auto"/>
        <w:ind w:left="714" w:hanging="357"/>
        <w:rPr>
          <w:rFonts w:cs="Arial"/>
        </w:rPr>
      </w:pPr>
      <w:r>
        <w:rPr>
          <w:rFonts w:cs="Arial"/>
        </w:rPr>
        <w:t>Sustaining o</w:t>
      </w:r>
      <w:r w:rsidR="00720DCC" w:rsidRPr="00195F7D">
        <w:rPr>
          <w:rFonts w:cs="Arial"/>
        </w:rPr>
        <w:t>rganisational vitality</w:t>
      </w:r>
      <w:r w:rsidR="00966AA1" w:rsidRPr="00195F7D">
        <w:rPr>
          <w:rFonts w:cs="Arial"/>
        </w:rPr>
        <w:t xml:space="preserve"> and community impact</w:t>
      </w:r>
      <w:r w:rsidR="00720DCC" w:rsidRPr="00195F7D">
        <w:rPr>
          <w:rFonts w:cs="Arial"/>
        </w:rPr>
        <w:t xml:space="preserve"> (March 2026)</w:t>
      </w:r>
    </w:p>
    <w:p w14:paraId="1685F39B" w14:textId="7B47DB47" w:rsidR="0071557C" w:rsidRPr="00195F7D" w:rsidRDefault="0071557C" w:rsidP="00AF458D">
      <w:pPr>
        <w:spacing w:after="80" w:line="300" w:lineRule="auto"/>
        <w:rPr>
          <w:rFonts w:cs="Arial"/>
        </w:rPr>
      </w:pPr>
      <w:r w:rsidRPr="00195F7D">
        <w:rPr>
          <w:rFonts w:cs="Arial"/>
        </w:rPr>
        <w:t>The project is funded in 202</w:t>
      </w:r>
      <w:r w:rsidR="00093F52" w:rsidRPr="00195F7D">
        <w:rPr>
          <w:rFonts w:cs="Arial"/>
        </w:rPr>
        <w:t>5</w:t>
      </w:r>
      <w:r w:rsidR="00C8196A" w:rsidRPr="00195F7D">
        <w:rPr>
          <w:rFonts w:cs="Arial"/>
        </w:rPr>
        <w:t>-26</w:t>
      </w:r>
      <w:r w:rsidRPr="00195F7D">
        <w:rPr>
          <w:rFonts w:cs="Arial"/>
        </w:rPr>
        <w:t xml:space="preserve"> by </w:t>
      </w:r>
      <w:r w:rsidRPr="00195F7D">
        <w:rPr>
          <w:rFonts w:cs="Arial"/>
          <w:b/>
          <w:bCs/>
          <w:i/>
          <w:iCs/>
        </w:rPr>
        <w:t xml:space="preserve">Community Foundation </w:t>
      </w:r>
      <w:r w:rsidR="00093F52" w:rsidRPr="00195F7D">
        <w:rPr>
          <w:rFonts w:cs="Arial"/>
          <w:b/>
          <w:bCs/>
          <w:i/>
          <w:iCs/>
        </w:rPr>
        <w:t>North East</w:t>
      </w:r>
      <w:r w:rsidRPr="00195F7D">
        <w:rPr>
          <w:rFonts w:cs="Arial"/>
          <w:b/>
          <w:bCs/>
          <w:i/>
          <w:iCs/>
        </w:rPr>
        <w:t xml:space="preserve">, </w:t>
      </w:r>
      <w:r w:rsidR="00093F52" w:rsidRPr="00195F7D">
        <w:rPr>
          <w:rFonts w:cs="Arial"/>
          <w:b/>
          <w:bCs/>
          <w:i/>
          <w:iCs/>
        </w:rPr>
        <w:t xml:space="preserve">Lloyds Bank Foundation England and Wales, Wales Council for Voluntary Action </w:t>
      </w:r>
      <w:r w:rsidRPr="00195F7D">
        <w:rPr>
          <w:rFonts w:cs="Arial"/>
        </w:rPr>
        <w:t>and</w:t>
      </w:r>
      <w:r w:rsidRPr="00195F7D">
        <w:rPr>
          <w:rFonts w:cs="Arial"/>
          <w:b/>
          <w:bCs/>
          <w:i/>
          <w:iCs/>
        </w:rPr>
        <w:t xml:space="preserve"> Millfield House Foundation</w:t>
      </w:r>
      <w:r w:rsidRPr="00195F7D">
        <w:rPr>
          <w:rFonts w:cs="Arial"/>
        </w:rPr>
        <w:t>.</w:t>
      </w:r>
    </w:p>
    <w:p w14:paraId="2BDF4652" w14:textId="77777777" w:rsidR="0071557C" w:rsidRPr="00195F7D" w:rsidRDefault="0071557C" w:rsidP="00AF458D">
      <w:pPr>
        <w:spacing w:after="80" w:line="300" w:lineRule="auto"/>
        <w:rPr>
          <w:rFonts w:cs="Arial"/>
          <w:b/>
          <w:bCs/>
          <w:u w:val="single"/>
        </w:rPr>
      </w:pPr>
    </w:p>
    <w:p w14:paraId="2F99766E" w14:textId="77777777" w:rsidR="0071557C" w:rsidRPr="00195F7D" w:rsidRDefault="0071557C" w:rsidP="00AF458D">
      <w:pPr>
        <w:spacing w:after="80" w:line="300" w:lineRule="auto"/>
        <w:rPr>
          <w:rFonts w:cs="Arial"/>
          <w:b/>
          <w:bCs/>
          <w:u w:val="single"/>
        </w:rPr>
      </w:pPr>
      <w:r w:rsidRPr="00195F7D">
        <w:rPr>
          <w:rFonts w:cs="Arial"/>
          <w:b/>
          <w:bCs/>
          <w:u w:val="single"/>
        </w:rPr>
        <w:t>For further detail on the study please contact:</w:t>
      </w:r>
    </w:p>
    <w:p w14:paraId="2D612E1B" w14:textId="77777777" w:rsidR="0071557C" w:rsidRPr="00195F7D" w:rsidRDefault="0071557C" w:rsidP="00AF458D">
      <w:pPr>
        <w:spacing w:after="80" w:line="300" w:lineRule="auto"/>
        <w:rPr>
          <w:rFonts w:cs="Arial"/>
        </w:rPr>
      </w:pPr>
      <w:r w:rsidRPr="00195F7D">
        <w:rPr>
          <w:rFonts w:cs="Arial"/>
        </w:rPr>
        <w:t xml:space="preserve">Professor Tony Chapman, Policy&amp;Practice, St Chad’s College, Durham University, </w:t>
      </w:r>
    </w:p>
    <w:p w14:paraId="24702224" w14:textId="3FEE69C0" w:rsidR="0071557C" w:rsidRPr="00195F7D" w:rsidRDefault="002E74CE" w:rsidP="00AF458D">
      <w:pPr>
        <w:spacing w:after="80" w:line="300" w:lineRule="auto"/>
        <w:rPr>
          <w:rFonts w:cs="Arial"/>
        </w:rPr>
      </w:pPr>
      <w:hyperlink r:id="rId11" w:history="1">
        <w:r w:rsidRPr="00635BF6">
          <w:rPr>
            <w:rStyle w:val="Hyperlink"/>
            <w:rFonts w:cs="Arial"/>
          </w:rPr>
          <w:t>Tony.chapman@durham.ac.uk</w:t>
        </w:r>
      </w:hyperlink>
    </w:p>
    <w:p w14:paraId="7CDA9731" w14:textId="77777777" w:rsidR="0071557C" w:rsidRPr="00195F7D" w:rsidRDefault="0071557C" w:rsidP="00AF458D">
      <w:pPr>
        <w:spacing w:after="80" w:line="300" w:lineRule="auto"/>
        <w:rPr>
          <w:rFonts w:cs="Arial"/>
        </w:rPr>
      </w:pPr>
    </w:p>
    <w:p w14:paraId="68E72404" w14:textId="3461C890" w:rsidR="0071557C" w:rsidRPr="00195F7D" w:rsidRDefault="00657E22" w:rsidP="00AF458D">
      <w:pPr>
        <w:spacing w:after="80" w:line="300" w:lineRule="auto"/>
        <w:rPr>
          <w:rFonts w:cs="Arial"/>
        </w:rPr>
      </w:pPr>
      <w:r w:rsidRPr="00195F7D">
        <w:rPr>
          <w:rFonts w:cs="Arial"/>
        </w:rPr>
        <w:t>Hannah Mackey-Christie, Senior Policy and Public Affairs Advisor</w:t>
      </w:r>
      <w:r w:rsidR="0071557C" w:rsidRPr="00195F7D">
        <w:rPr>
          <w:rFonts w:cs="Arial"/>
        </w:rPr>
        <w:t xml:space="preserve">, Community Foundation </w:t>
      </w:r>
      <w:r w:rsidR="00093F52" w:rsidRPr="00195F7D">
        <w:rPr>
          <w:rFonts w:cs="Arial"/>
        </w:rPr>
        <w:t>North East</w:t>
      </w:r>
      <w:r w:rsidR="0071557C" w:rsidRPr="00195F7D">
        <w:rPr>
          <w:rFonts w:cs="Arial"/>
        </w:rPr>
        <w:t xml:space="preserve"> </w:t>
      </w:r>
    </w:p>
    <w:p w14:paraId="4FC27B65" w14:textId="385BCEA1" w:rsidR="0071557C" w:rsidRDefault="00BD4011" w:rsidP="00AF458D">
      <w:pPr>
        <w:spacing w:after="80" w:line="300" w:lineRule="auto"/>
        <w:rPr>
          <w:rFonts w:cs="Arial"/>
        </w:rPr>
      </w:pPr>
      <w:hyperlink r:id="rId12" w:history="1">
        <w:r w:rsidRPr="00195F7D">
          <w:rPr>
            <w:rStyle w:val="Hyperlink"/>
            <w:rFonts w:cs="Arial"/>
          </w:rPr>
          <w:t>hmc@communityfoundation.org.uk</w:t>
        </w:r>
      </w:hyperlink>
      <w:r w:rsidRPr="00195F7D">
        <w:rPr>
          <w:rFonts w:cs="Arial"/>
          <w:u w:val="single"/>
        </w:rPr>
        <w:t xml:space="preserve"> </w:t>
      </w:r>
    </w:p>
    <w:sectPr w:rsidR="0071557C" w:rsidSect="001661DE">
      <w:footerReference w:type="default" r:id="rId13"/>
      <w:pgSz w:w="11906" w:h="16838"/>
      <w:pgMar w:top="720" w:right="720" w:bottom="720" w:left="72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FB69C" w14:textId="77777777" w:rsidR="00E7664C" w:rsidRDefault="00E7664C" w:rsidP="00264CD2">
      <w:pPr>
        <w:spacing w:after="0"/>
      </w:pPr>
      <w:r>
        <w:separator/>
      </w:r>
    </w:p>
  </w:endnote>
  <w:endnote w:type="continuationSeparator" w:id="0">
    <w:p w14:paraId="7E04B4D4" w14:textId="77777777" w:rsidR="00E7664C" w:rsidRDefault="00E7664C" w:rsidP="00264C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Zhongsong">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2521"/>
      <w:docPartObj>
        <w:docPartGallery w:val="Page Numbers (Bottom of Page)"/>
        <w:docPartUnique/>
      </w:docPartObj>
    </w:sdtPr>
    <w:sdtEndPr>
      <w:rPr>
        <w:noProof/>
      </w:rPr>
    </w:sdtEndPr>
    <w:sdtContent>
      <w:p w14:paraId="0A281F8B" w14:textId="0C708BE8" w:rsidR="0029174C" w:rsidRDefault="0029174C" w:rsidP="001661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9FB49A" w14:textId="77777777" w:rsidR="00264CD2" w:rsidRDefault="00264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2530B" w14:textId="77777777" w:rsidR="00E7664C" w:rsidRDefault="00E7664C" w:rsidP="00264CD2">
      <w:pPr>
        <w:spacing w:after="0"/>
      </w:pPr>
      <w:r>
        <w:separator/>
      </w:r>
    </w:p>
  </w:footnote>
  <w:footnote w:type="continuationSeparator" w:id="0">
    <w:p w14:paraId="53E43ECE" w14:textId="77777777" w:rsidR="00E7664C" w:rsidRDefault="00E7664C" w:rsidP="00264CD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7ED"/>
    <w:multiLevelType w:val="hybridMultilevel"/>
    <w:tmpl w:val="E4309296"/>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E1B76"/>
    <w:multiLevelType w:val="hybridMultilevel"/>
    <w:tmpl w:val="D042290C"/>
    <w:lvl w:ilvl="0" w:tplc="08090001">
      <w:start w:val="1"/>
      <w:numFmt w:val="bullet"/>
      <w:lvlText w:val=""/>
      <w:lvlJc w:val="left"/>
      <w:pPr>
        <w:ind w:left="720"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4E6E6D"/>
    <w:multiLevelType w:val="hybridMultilevel"/>
    <w:tmpl w:val="3D78B682"/>
    <w:lvl w:ilvl="0" w:tplc="9D9C13BE">
      <w:start w:val="1"/>
      <w:numFmt w:val="bullet"/>
      <w:lvlText w:val=""/>
      <w:lvlJc w:val="left"/>
      <w:pPr>
        <w:ind w:left="1202" w:hanging="360"/>
      </w:pPr>
      <w:rPr>
        <w:rFonts w:ascii="Wingdings" w:hAnsi="Wingdings" w:hint="default"/>
        <w:b w:val="0"/>
        <w:i w:val="0"/>
        <w:color w:val="2F5496" w:themeColor="accent1" w:themeShade="BF"/>
        <w:sz w:val="24"/>
        <w:u w:color="323E4F" w:themeColor="text2" w:themeShade="BF"/>
      </w:rPr>
    </w:lvl>
    <w:lvl w:ilvl="1" w:tplc="08090003" w:tentative="1">
      <w:start w:val="1"/>
      <w:numFmt w:val="bullet"/>
      <w:lvlText w:val="o"/>
      <w:lvlJc w:val="left"/>
      <w:pPr>
        <w:ind w:left="1922" w:hanging="360"/>
      </w:pPr>
      <w:rPr>
        <w:rFonts w:ascii="Courier New" w:hAnsi="Courier New" w:cs="Courier New" w:hint="default"/>
      </w:rPr>
    </w:lvl>
    <w:lvl w:ilvl="2" w:tplc="08090005" w:tentative="1">
      <w:start w:val="1"/>
      <w:numFmt w:val="bullet"/>
      <w:lvlText w:val=""/>
      <w:lvlJc w:val="left"/>
      <w:pPr>
        <w:ind w:left="2642" w:hanging="360"/>
      </w:pPr>
      <w:rPr>
        <w:rFonts w:ascii="Wingdings" w:hAnsi="Wingdings" w:hint="default"/>
      </w:rPr>
    </w:lvl>
    <w:lvl w:ilvl="3" w:tplc="08090001" w:tentative="1">
      <w:start w:val="1"/>
      <w:numFmt w:val="bullet"/>
      <w:lvlText w:val=""/>
      <w:lvlJc w:val="left"/>
      <w:pPr>
        <w:ind w:left="3362" w:hanging="360"/>
      </w:pPr>
      <w:rPr>
        <w:rFonts w:ascii="Symbol" w:hAnsi="Symbol" w:hint="default"/>
      </w:rPr>
    </w:lvl>
    <w:lvl w:ilvl="4" w:tplc="08090003" w:tentative="1">
      <w:start w:val="1"/>
      <w:numFmt w:val="bullet"/>
      <w:lvlText w:val="o"/>
      <w:lvlJc w:val="left"/>
      <w:pPr>
        <w:ind w:left="4082" w:hanging="360"/>
      </w:pPr>
      <w:rPr>
        <w:rFonts w:ascii="Courier New" w:hAnsi="Courier New" w:cs="Courier New" w:hint="default"/>
      </w:rPr>
    </w:lvl>
    <w:lvl w:ilvl="5" w:tplc="08090005" w:tentative="1">
      <w:start w:val="1"/>
      <w:numFmt w:val="bullet"/>
      <w:lvlText w:val=""/>
      <w:lvlJc w:val="left"/>
      <w:pPr>
        <w:ind w:left="4802" w:hanging="360"/>
      </w:pPr>
      <w:rPr>
        <w:rFonts w:ascii="Wingdings" w:hAnsi="Wingdings" w:hint="default"/>
      </w:rPr>
    </w:lvl>
    <w:lvl w:ilvl="6" w:tplc="08090001" w:tentative="1">
      <w:start w:val="1"/>
      <w:numFmt w:val="bullet"/>
      <w:lvlText w:val=""/>
      <w:lvlJc w:val="left"/>
      <w:pPr>
        <w:ind w:left="5522" w:hanging="360"/>
      </w:pPr>
      <w:rPr>
        <w:rFonts w:ascii="Symbol" w:hAnsi="Symbol" w:hint="default"/>
      </w:rPr>
    </w:lvl>
    <w:lvl w:ilvl="7" w:tplc="08090003" w:tentative="1">
      <w:start w:val="1"/>
      <w:numFmt w:val="bullet"/>
      <w:lvlText w:val="o"/>
      <w:lvlJc w:val="left"/>
      <w:pPr>
        <w:ind w:left="6242" w:hanging="360"/>
      </w:pPr>
      <w:rPr>
        <w:rFonts w:ascii="Courier New" w:hAnsi="Courier New" w:cs="Courier New" w:hint="default"/>
      </w:rPr>
    </w:lvl>
    <w:lvl w:ilvl="8" w:tplc="08090005" w:tentative="1">
      <w:start w:val="1"/>
      <w:numFmt w:val="bullet"/>
      <w:lvlText w:val=""/>
      <w:lvlJc w:val="left"/>
      <w:pPr>
        <w:ind w:left="6962" w:hanging="360"/>
      </w:pPr>
      <w:rPr>
        <w:rFonts w:ascii="Wingdings" w:hAnsi="Wingdings" w:hint="default"/>
      </w:rPr>
    </w:lvl>
  </w:abstractNum>
  <w:abstractNum w:abstractNumId="3" w15:restartNumberingAfterBreak="0">
    <w:nsid w:val="04153EA5"/>
    <w:multiLevelType w:val="hybridMultilevel"/>
    <w:tmpl w:val="F2F6552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DD6E89"/>
    <w:multiLevelType w:val="hybridMultilevel"/>
    <w:tmpl w:val="9B9C3B04"/>
    <w:lvl w:ilvl="0" w:tplc="08090005">
      <w:start w:val="1"/>
      <w:numFmt w:val="bullet"/>
      <w:lvlText w:val=""/>
      <w:lvlJc w:val="left"/>
      <w:pPr>
        <w:ind w:left="720" w:hanging="360"/>
      </w:pPr>
      <w:rPr>
        <w:rFonts w:ascii="Wingdings" w:hAnsi="Wingdings" w:hint="default"/>
        <w:color w:val="2F5496" w:themeColor="accent1" w:themeShade="BF"/>
        <w:sz w:val="24"/>
        <w:u w:color="323E4F" w:themeColor="text2"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79642C"/>
    <w:multiLevelType w:val="hybridMultilevel"/>
    <w:tmpl w:val="33D4A9BE"/>
    <w:lvl w:ilvl="0" w:tplc="08090001">
      <w:start w:val="1"/>
      <w:numFmt w:val="bullet"/>
      <w:lvlText w:val=""/>
      <w:lvlJc w:val="left"/>
      <w:pPr>
        <w:ind w:left="720"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00534A"/>
    <w:multiLevelType w:val="hybridMultilevel"/>
    <w:tmpl w:val="1E2A93AC"/>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185E0107"/>
    <w:multiLevelType w:val="hybridMultilevel"/>
    <w:tmpl w:val="532422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04DA3"/>
    <w:multiLevelType w:val="hybridMultilevel"/>
    <w:tmpl w:val="8764A8DC"/>
    <w:lvl w:ilvl="0" w:tplc="08090001">
      <w:start w:val="1"/>
      <w:numFmt w:val="bullet"/>
      <w:lvlText w:val=""/>
      <w:lvlJc w:val="left"/>
      <w:pPr>
        <w:ind w:left="2880"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 w15:restartNumberingAfterBreak="0">
    <w:nsid w:val="1A56143A"/>
    <w:multiLevelType w:val="hybridMultilevel"/>
    <w:tmpl w:val="427C017E"/>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F6431"/>
    <w:multiLevelType w:val="hybridMultilevel"/>
    <w:tmpl w:val="0F2EBC2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1" w15:restartNumberingAfterBreak="0">
    <w:nsid w:val="22403612"/>
    <w:multiLevelType w:val="hybridMultilevel"/>
    <w:tmpl w:val="E3826CA0"/>
    <w:lvl w:ilvl="0" w:tplc="9D9C13BE">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2" w15:restartNumberingAfterBreak="0">
    <w:nsid w:val="23D85E33"/>
    <w:multiLevelType w:val="hybridMultilevel"/>
    <w:tmpl w:val="0ACCAEA2"/>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3" w15:restartNumberingAfterBreak="0">
    <w:nsid w:val="2446469F"/>
    <w:multiLevelType w:val="hybridMultilevel"/>
    <w:tmpl w:val="F1A28C12"/>
    <w:lvl w:ilvl="0" w:tplc="9D9C13BE">
      <w:start w:val="1"/>
      <w:numFmt w:val="bullet"/>
      <w:lvlText w:val=""/>
      <w:lvlJc w:val="left"/>
      <w:pPr>
        <w:ind w:left="720" w:hanging="360"/>
      </w:pPr>
      <w:rPr>
        <w:rFonts w:ascii="Wingdings" w:hAnsi="Wingdings" w:hint="default"/>
        <w:color w:val="2F5496" w:themeColor="accent1" w:themeShade="BF"/>
        <w:sz w:val="24"/>
        <w:u w:color="323E4F" w:themeColor="text2"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7911B75"/>
    <w:multiLevelType w:val="hybridMultilevel"/>
    <w:tmpl w:val="A33EEB2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CAA3F1D"/>
    <w:multiLevelType w:val="hybridMultilevel"/>
    <w:tmpl w:val="D54C51EA"/>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A15BA"/>
    <w:multiLevelType w:val="hybridMultilevel"/>
    <w:tmpl w:val="E236EB0A"/>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300D2796"/>
    <w:multiLevelType w:val="hybridMultilevel"/>
    <w:tmpl w:val="40A68E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F32826"/>
    <w:multiLevelType w:val="hybridMultilevel"/>
    <w:tmpl w:val="DBA0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46377"/>
    <w:multiLevelType w:val="hybridMultilevel"/>
    <w:tmpl w:val="0BCC05DE"/>
    <w:lvl w:ilvl="0" w:tplc="9D9C13BE">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0" w15:restartNumberingAfterBreak="0">
    <w:nsid w:val="36C03145"/>
    <w:multiLevelType w:val="hybridMultilevel"/>
    <w:tmpl w:val="C3B6AE8A"/>
    <w:lvl w:ilvl="0" w:tplc="B7D87C02">
      <w:start w:val="1"/>
      <w:numFmt w:val="bullet"/>
      <w:lvlText w:val="■"/>
      <w:lvlJc w:val="left"/>
      <w:pPr>
        <w:ind w:left="-69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0" w:hanging="360"/>
      </w:pPr>
      <w:rPr>
        <w:rFonts w:ascii="Courier New" w:hAnsi="Courier New" w:cs="Courier New" w:hint="default"/>
      </w:rPr>
    </w:lvl>
    <w:lvl w:ilvl="2" w:tplc="08090005" w:tentative="1">
      <w:start w:val="1"/>
      <w:numFmt w:val="bullet"/>
      <w:lvlText w:val=""/>
      <w:lvlJc w:val="left"/>
      <w:pPr>
        <w:ind w:left="750" w:hanging="360"/>
      </w:pPr>
      <w:rPr>
        <w:rFonts w:ascii="Wingdings" w:hAnsi="Wingdings" w:hint="default"/>
      </w:rPr>
    </w:lvl>
    <w:lvl w:ilvl="3" w:tplc="08090001" w:tentative="1">
      <w:start w:val="1"/>
      <w:numFmt w:val="bullet"/>
      <w:lvlText w:val=""/>
      <w:lvlJc w:val="left"/>
      <w:pPr>
        <w:ind w:left="1470" w:hanging="360"/>
      </w:pPr>
      <w:rPr>
        <w:rFonts w:ascii="Symbol" w:hAnsi="Symbol" w:hint="default"/>
      </w:rPr>
    </w:lvl>
    <w:lvl w:ilvl="4" w:tplc="08090003" w:tentative="1">
      <w:start w:val="1"/>
      <w:numFmt w:val="bullet"/>
      <w:lvlText w:val="o"/>
      <w:lvlJc w:val="left"/>
      <w:pPr>
        <w:ind w:left="2190" w:hanging="360"/>
      </w:pPr>
      <w:rPr>
        <w:rFonts w:ascii="Courier New" w:hAnsi="Courier New" w:cs="Courier New" w:hint="default"/>
      </w:rPr>
    </w:lvl>
    <w:lvl w:ilvl="5" w:tplc="08090005" w:tentative="1">
      <w:start w:val="1"/>
      <w:numFmt w:val="bullet"/>
      <w:lvlText w:val=""/>
      <w:lvlJc w:val="left"/>
      <w:pPr>
        <w:ind w:left="2910" w:hanging="360"/>
      </w:pPr>
      <w:rPr>
        <w:rFonts w:ascii="Wingdings" w:hAnsi="Wingdings" w:hint="default"/>
      </w:rPr>
    </w:lvl>
    <w:lvl w:ilvl="6" w:tplc="08090001" w:tentative="1">
      <w:start w:val="1"/>
      <w:numFmt w:val="bullet"/>
      <w:lvlText w:val=""/>
      <w:lvlJc w:val="left"/>
      <w:pPr>
        <w:ind w:left="3630" w:hanging="360"/>
      </w:pPr>
      <w:rPr>
        <w:rFonts w:ascii="Symbol" w:hAnsi="Symbol" w:hint="default"/>
      </w:rPr>
    </w:lvl>
    <w:lvl w:ilvl="7" w:tplc="08090003" w:tentative="1">
      <w:start w:val="1"/>
      <w:numFmt w:val="bullet"/>
      <w:lvlText w:val="o"/>
      <w:lvlJc w:val="left"/>
      <w:pPr>
        <w:ind w:left="4350" w:hanging="360"/>
      </w:pPr>
      <w:rPr>
        <w:rFonts w:ascii="Courier New" w:hAnsi="Courier New" w:cs="Courier New" w:hint="default"/>
      </w:rPr>
    </w:lvl>
    <w:lvl w:ilvl="8" w:tplc="08090005" w:tentative="1">
      <w:start w:val="1"/>
      <w:numFmt w:val="bullet"/>
      <w:lvlText w:val=""/>
      <w:lvlJc w:val="left"/>
      <w:pPr>
        <w:ind w:left="5070" w:hanging="360"/>
      </w:pPr>
      <w:rPr>
        <w:rFonts w:ascii="Wingdings" w:hAnsi="Wingdings" w:hint="default"/>
      </w:rPr>
    </w:lvl>
  </w:abstractNum>
  <w:abstractNum w:abstractNumId="21" w15:restartNumberingAfterBreak="0">
    <w:nsid w:val="3A6627D2"/>
    <w:multiLevelType w:val="hybridMultilevel"/>
    <w:tmpl w:val="3B8A6C12"/>
    <w:lvl w:ilvl="0" w:tplc="08090001">
      <w:start w:val="1"/>
      <w:numFmt w:val="bullet"/>
      <w:lvlText w:val=""/>
      <w:lvlJc w:val="left"/>
      <w:pPr>
        <w:ind w:left="753"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1473" w:hanging="360"/>
      </w:pPr>
      <w:rPr>
        <w:rFonts w:ascii="Courier New" w:hAnsi="Courier New" w:cs="Courier New" w:hint="default"/>
      </w:rPr>
    </w:lvl>
    <w:lvl w:ilvl="2" w:tplc="FFFFFFFF" w:tentative="1">
      <w:start w:val="1"/>
      <w:numFmt w:val="bullet"/>
      <w:lvlText w:val=""/>
      <w:lvlJc w:val="left"/>
      <w:pPr>
        <w:ind w:left="2193" w:hanging="360"/>
      </w:pPr>
      <w:rPr>
        <w:rFonts w:ascii="Wingdings" w:hAnsi="Wingdings" w:hint="default"/>
      </w:rPr>
    </w:lvl>
    <w:lvl w:ilvl="3" w:tplc="FFFFFFFF" w:tentative="1">
      <w:start w:val="1"/>
      <w:numFmt w:val="bullet"/>
      <w:lvlText w:val=""/>
      <w:lvlJc w:val="left"/>
      <w:pPr>
        <w:ind w:left="2913" w:hanging="360"/>
      </w:pPr>
      <w:rPr>
        <w:rFonts w:ascii="Symbol" w:hAnsi="Symbol" w:hint="default"/>
      </w:rPr>
    </w:lvl>
    <w:lvl w:ilvl="4" w:tplc="FFFFFFFF" w:tentative="1">
      <w:start w:val="1"/>
      <w:numFmt w:val="bullet"/>
      <w:lvlText w:val="o"/>
      <w:lvlJc w:val="left"/>
      <w:pPr>
        <w:ind w:left="3633" w:hanging="360"/>
      </w:pPr>
      <w:rPr>
        <w:rFonts w:ascii="Courier New" w:hAnsi="Courier New" w:cs="Courier New" w:hint="default"/>
      </w:rPr>
    </w:lvl>
    <w:lvl w:ilvl="5" w:tplc="FFFFFFFF" w:tentative="1">
      <w:start w:val="1"/>
      <w:numFmt w:val="bullet"/>
      <w:lvlText w:val=""/>
      <w:lvlJc w:val="left"/>
      <w:pPr>
        <w:ind w:left="4353" w:hanging="360"/>
      </w:pPr>
      <w:rPr>
        <w:rFonts w:ascii="Wingdings" w:hAnsi="Wingdings" w:hint="default"/>
      </w:rPr>
    </w:lvl>
    <w:lvl w:ilvl="6" w:tplc="FFFFFFFF" w:tentative="1">
      <w:start w:val="1"/>
      <w:numFmt w:val="bullet"/>
      <w:lvlText w:val=""/>
      <w:lvlJc w:val="left"/>
      <w:pPr>
        <w:ind w:left="5073" w:hanging="360"/>
      </w:pPr>
      <w:rPr>
        <w:rFonts w:ascii="Symbol" w:hAnsi="Symbol" w:hint="default"/>
      </w:rPr>
    </w:lvl>
    <w:lvl w:ilvl="7" w:tplc="FFFFFFFF" w:tentative="1">
      <w:start w:val="1"/>
      <w:numFmt w:val="bullet"/>
      <w:lvlText w:val="o"/>
      <w:lvlJc w:val="left"/>
      <w:pPr>
        <w:ind w:left="5793" w:hanging="360"/>
      </w:pPr>
      <w:rPr>
        <w:rFonts w:ascii="Courier New" w:hAnsi="Courier New" w:cs="Courier New" w:hint="default"/>
      </w:rPr>
    </w:lvl>
    <w:lvl w:ilvl="8" w:tplc="FFFFFFFF" w:tentative="1">
      <w:start w:val="1"/>
      <w:numFmt w:val="bullet"/>
      <w:lvlText w:val=""/>
      <w:lvlJc w:val="left"/>
      <w:pPr>
        <w:ind w:left="6513" w:hanging="360"/>
      </w:pPr>
      <w:rPr>
        <w:rFonts w:ascii="Wingdings" w:hAnsi="Wingdings" w:hint="default"/>
      </w:rPr>
    </w:lvl>
  </w:abstractNum>
  <w:abstractNum w:abstractNumId="22" w15:restartNumberingAfterBreak="0">
    <w:nsid w:val="3B270D3F"/>
    <w:multiLevelType w:val="hybridMultilevel"/>
    <w:tmpl w:val="AD52C09C"/>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E96095"/>
    <w:multiLevelType w:val="hybridMultilevel"/>
    <w:tmpl w:val="D9DA1CF8"/>
    <w:lvl w:ilvl="0" w:tplc="9D9C13BE">
      <w:start w:val="1"/>
      <w:numFmt w:val="bullet"/>
      <w:lvlText w:val=""/>
      <w:lvlJc w:val="left"/>
      <w:pPr>
        <w:ind w:left="720"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FB4BCC"/>
    <w:multiLevelType w:val="hybridMultilevel"/>
    <w:tmpl w:val="145ECEA2"/>
    <w:lvl w:ilvl="0" w:tplc="9D9C13BE">
      <w:start w:val="1"/>
      <w:numFmt w:val="bullet"/>
      <w:lvlText w:val=""/>
      <w:lvlJc w:val="left"/>
      <w:pPr>
        <w:ind w:left="2847"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3567" w:hanging="360"/>
      </w:pPr>
      <w:rPr>
        <w:rFonts w:ascii="Courier New" w:hAnsi="Courier New" w:cs="Courier New" w:hint="default"/>
      </w:rPr>
    </w:lvl>
    <w:lvl w:ilvl="2" w:tplc="08090005" w:tentative="1">
      <w:start w:val="1"/>
      <w:numFmt w:val="bullet"/>
      <w:lvlText w:val=""/>
      <w:lvlJc w:val="left"/>
      <w:pPr>
        <w:ind w:left="4287" w:hanging="360"/>
      </w:pPr>
      <w:rPr>
        <w:rFonts w:ascii="Wingdings" w:hAnsi="Wingdings" w:hint="default"/>
      </w:rPr>
    </w:lvl>
    <w:lvl w:ilvl="3" w:tplc="08090001" w:tentative="1">
      <w:start w:val="1"/>
      <w:numFmt w:val="bullet"/>
      <w:lvlText w:val=""/>
      <w:lvlJc w:val="left"/>
      <w:pPr>
        <w:ind w:left="5007" w:hanging="360"/>
      </w:pPr>
      <w:rPr>
        <w:rFonts w:ascii="Symbol" w:hAnsi="Symbol" w:hint="default"/>
      </w:rPr>
    </w:lvl>
    <w:lvl w:ilvl="4" w:tplc="08090003" w:tentative="1">
      <w:start w:val="1"/>
      <w:numFmt w:val="bullet"/>
      <w:lvlText w:val="o"/>
      <w:lvlJc w:val="left"/>
      <w:pPr>
        <w:ind w:left="5727" w:hanging="360"/>
      </w:pPr>
      <w:rPr>
        <w:rFonts w:ascii="Courier New" w:hAnsi="Courier New" w:cs="Courier New" w:hint="default"/>
      </w:rPr>
    </w:lvl>
    <w:lvl w:ilvl="5" w:tplc="08090005" w:tentative="1">
      <w:start w:val="1"/>
      <w:numFmt w:val="bullet"/>
      <w:lvlText w:val=""/>
      <w:lvlJc w:val="left"/>
      <w:pPr>
        <w:ind w:left="6447" w:hanging="360"/>
      </w:pPr>
      <w:rPr>
        <w:rFonts w:ascii="Wingdings" w:hAnsi="Wingdings" w:hint="default"/>
      </w:rPr>
    </w:lvl>
    <w:lvl w:ilvl="6" w:tplc="08090001" w:tentative="1">
      <w:start w:val="1"/>
      <w:numFmt w:val="bullet"/>
      <w:lvlText w:val=""/>
      <w:lvlJc w:val="left"/>
      <w:pPr>
        <w:ind w:left="7167" w:hanging="360"/>
      </w:pPr>
      <w:rPr>
        <w:rFonts w:ascii="Symbol" w:hAnsi="Symbol" w:hint="default"/>
      </w:rPr>
    </w:lvl>
    <w:lvl w:ilvl="7" w:tplc="08090003" w:tentative="1">
      <w:start w:val="1"/>
      <w:numFmt w:val="bullet"/>
      <w:lvlText w:val="o"/>
      <w:lvlJc w:val="left"/>
      <w:pPr>
        <w:ind w:left="7887" w:hanging="360"/>
      </w:pPr>
      <w:rPr>
        <w:rFonts w:ascii="Courier New" w:hAnsi="Courier New" w:cs="Courier New" w:hint="default"/>
      </w:rPr>
    </w:lvl>
    <w:lvl w:ilvl="8" w:tplc="08090005" w:tentative="1">
      <w:start w:val="1"/>
      <w:numFmt w:val="bullet"/>
      <w:lvlText w:val=""/>
      <w:lvlJc w:val="left"/>
      <w:pPr>
        <w:ind w:left="8607" w:hanging="360"/>
      </w:pPr>
      <w:rPr>
        <w:rFonts w:ascii="Wingdings" w:hAnsi="Wingdings" w:hint="default"/>
      </w:rPr>
    </w:lvl>
  </w:abstractNum>
  <w:abstractNum w:abstractNumId="25" w15:restartNumberingAfterBreak="0">
    <w:nsid w:val="44460373"/>
    <w:multiLevelType w:val="hybridMultilevel"/>
    <w:tmpl w:val="DF02CF30"/>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44AE7783"/>
    <w:multiLevelType w:val="hybridMultilevel"/>
    <w:tmpl w:val="B23AF6AE"/>
    <w:lvl w:ilvl="0" w:tplc="08090001">
      <w:start w:val="1"/>
      <w:numFmt w:val="bullet"/>
      <w:lvlText w:val=""/>
      <w:lvlJc w:val="left"/>
      <w:pPr>
        <w:ind w:left="720" w:hanging="360"/>
      </w:pPr>
      <w:rPr>
        <w:rFonts w:ascii="Symbol" w:hAnsi="Symbol" w:hint="default"/>
        <w:color w:val="2F5496" w:themeColor="accent1" w:themeShade="BF"/>
        <w:sz w:val="24"/>
        <w:u w:color="323E4F" w:themeColor="text2" w:themeShade="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69E57F0"/>
    <w:multiLevelType w:val="hybridMultilevel"/>
    <w:tmpl w:val="E5D834AA"/>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8" w15:restartNumberingAfterBreak="0">
    <w:nsid w:val="487F0115"/>
    <w:multiLevelType w:val="hybridMultilevel"/>
    <w:tmpl w:val="6E52CECE"/>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9" w15:restartNumberingAfterBreak="0">
    <w:nsid w:val="4C9A0259"/>
    <w:multiLevelType w:val="hybridMultilevel"/>
    <w:tmpl w:val="4F700D60"/>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0" w15:restartNumberingAfterBreak="0">
    <w:nsid w:val="4F6A5890"/>
    <w:multiLevelType w:val="hybridMultilevel"/>
    <w:tmpl w:val="BE28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A65C63"/>
    <w:multiLevelType w:val="hybridMultilevel"/>
    <w:tmpl w:val="3C02A026"/>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4FF94DD7"/>
    <w:multiLevelType w:val="hybridMultilevel"/>
    <w:tmpl w:val="E7AC430E"/>
    <w:lvl w:ilvl="0" w:tplc="B7D87C02">
      <w:start w:val="1"/>
      <w:numFmt w:val="bullet"/>
      <w:lvlText w:val="■"/>
      <w:lvlJc w:val="left"/>
      <w:pPr>
        <w:ind w:left="1452"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33" w15:restartNumberingAfterBreak="0">
    <w:nsid w:val="50A5142D"/>
    <w:multiLevelType w:val="hybridMultilevel"/>
    <w:tmpl w:val="47DC1548"/>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531F0AC2"/>
    <w:multiLevelType w:val="hybridMultilevel"/>
    <w:tmpl w:val="B1660720"/>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5" w15:restartNumberingAfterBreak="0">
    <w:nsid w:val="53BC18C0"/>
    <w:multiLevelType w:val="hybridMultilevel"/>
    <w:tmpl w:val="4B043D80"/>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6" w15:restartNumberingAfterBreak="0">
    <w:nsid w:val="545D3D20"/>
    <w:multiLevelType w:val="hybridMultilevel"/>
    <w:tmpl w:val="879A9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B57165"/>
    <w:multiLevelType w:val="hybridMultilevel"/>
    <w:tmpl w:val="210AEAF8"/>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8" w15:restartNumberingAfterBreak="0">
    <w:nsid w:val="5518354C"/>
    <w:multiLevelType w:val="hybridMultilevel"/>
    <w:tmpl w:val="B27CACAC"/>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9" w15:restartNumberingAfterBreak="0">
    <w:nsid w:val="5D734A4D"/>
    <w:multiLevelType w:val="hybridMultilevel"/>
    <w:tmpl w:val="68D64F02"/>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0" w15:restartNumberingAfterBreak="0">
    <w:nsid w:val="5DE013B2"/>
    <w:multiLevelType w:val="hybridMultilevel"/>
    <w:tmpl w:val="4E8CBC8C"/>
    <w:lvl w:ilvl="0" w:tplc="08090001">
      <w:start w:val="1"/>
      <w:numFmt w:val="bullet"/>
      <w:lvlText w:val=""/>
      <w:lvlJc w:val="left"/>
      <w:pPr>
        <w:ind w:left="720"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E5E19D6"/>
    <w:multiLevelType w:val="hybridMultilevel"/>
    <w:tmpl w:val="D4068D8A"/>
    <w:lvl w:ilvl="0" w:tplc="9D9C13BE">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2" w15:restartNumberingAfterBreak="0">
    <w:nsid w:val="5FE05927"/>
    <w:multiLevelType w:val="hybridMultilevel"/>
    <w:tmpl w:val="FF06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3A4E7F"/>
    <w:multiLevelType w:val="hybridMultilevel"/>
    <w:tmpl w:val="37FAE464"/>
    <w:lvl w:ilvl="0" w:tplc="9D9C13BE">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4" w15:restartNumberingAfterBreak="0">
    <w:nsid w:val="641B206D"/>
    <w:multiLevelType w:val="hybridMultilevel"/>
    <w:tmpl w:val="76C4A690"/>
    <w:lvl w:ilvl="0" w:tplc="9D9C13BE">
      <w:start w:val="1"/>
      <w:numFmt w:val="bullet"/>
      <w:lvlText w:val=""/>
      <w:lvlJc w:val="left"/>
      <w:pPr>
        <w:ind w:left="720" w:hanging="360"/>
      </w:pPr>
      <w:rPr>
        <w:rFonts w:ascii="Wingdings" w:hAnsi="Wingdings" w:hint="default"/>
        <w:color w:val="2F5496" w:themeColor="accent1" w:themeShade="BF"/>
        <w:sz w:val="24"/>
        <w:u w:color="323E4F" w:themeColor="tex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4A2630D"/>
    <w:multiLevelType w:val="hybridMultilevel"/>
    <w:tmpl w:val="4B68347C"/>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6C3064"/>
    <w:multiLevelType w:val="hybridMultilevel"/>
    <w:tmpl w:val="BBE2749C"/>
    <w:lvl w:ilvl="0" w:tplc="B7D87C02">
      <w:start w:val="1"/>
      <w:numFmt w:val="bullet"/>
      <w:lvlText w:val="■"/>
      <w:lvlJc w:val="left"/>
      <w:pPr>
        <w:ind w:left="72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3F439B"/>
    <w:multiLevelType w:val="hybridMultilevel"/>
    <w:tmpl w:val="AC12C9A2"/>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8" w15:restartNumberingAfterBreak="0">
    <w:nsid w:val="71C67FD2"/>
    <w:multiLevelType w:val="hybridMultilevel"/>
    <w:tmpl w:val="D2F6BAD0"/>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9" w15:restartNumberingAfterBreak="0">
    <w:nsid w:val="74496C16"/>
    <w:multiLevelType w:val="hybridMultilevel"/>
    <w:tmpl w:val="E3826CA0"/>
    <w:lvl w:ilvl="0" w:tplc="FFFFFFFF">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50" w15:restartNumberingAfterBreak="0">
    <w:nsid w:val="761D0199"/>
    <w:multiLevelType w:val="hybridMultilevel"/>
    <w:tmpl w:val="02AE35CC"/>
    <w:lvl w:ilvl="0" w:tplc="B7D87C02">
      <w:start w:val="1"/>
      <w:numFmt w:val="bullet"/>
      <w:lvlText w:val="■"/>
      <w:lvlJc w:val="left"/>
      <w:pPr>
        <w:ind w:left="2880"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1" w15:restartNumberingAfterBreak="0">
    <w:nsid w:val="77873B72"/>
    <w:multiLevelType w:val="hybridMultilevel"/>
    <w:tmpl w:val="609A89BE"/>
    <w:lvl w:ilvl="0" w:tplc="08090001">
      <w:start w:val="1"/>
      <w:numFmt w:val="bullet"/>
      <w:lvlText w:val=""/>
      <w:lvlJc w:val="left"/>
      <w:pPr>
        <w:ind w:left="3207" w:hanging="360"/>
      </w:pPr>
      <w:rPr>
        <w:rFonts w:ascii="Symbol" w:hAnsi="Symbol" w:hint="default"/>
        <w:color w:val="2F5496" w:themeColor="accent1" w:themeShade="BF"/>
        <w:sz w:val="24"/>
        <w:u w:color="323E4F" w:themeColor="text2" w:themeShade="BF"/>
      </w:rPr>
    </w:lvl>
    <w:lvl w:ilvl="1" w:tplc="FFFFFFFF" w:tentative="1">
      <w:start w:val="1"/>
      <w:numFmt w:val="bullet"/>
      <w:lvlText w:val="o"/>
      <w:lvlJc w:val="left"/>
      <w:pPr>
        <w:ind w:left="3927" w:hanging="360"/>
      </w:pPr>
      <w:rPr>
        <w:rFonts w:ascii="Courier New" w:hAnsi="Courier New" w:cs="Courier New" w:hint="default"/>
      </w:rPr>
    </w:lvl>
    <w:lvl w:ilvl="2" w:tplc="FFFFFFFF" w:tentative="1">
      <w:start w:val="1"/>
      <w:numFmt w:val="bullet"/>
      <w:lvlText w:val=""/>
      <w:lvlJc w:val="left"/>
      <w:pPr>
        <w:ind w:left="4647" w:hanging="360"/>
      </w:pPr>
      <w:rPr>
        <w:rFonts w:ascii="Wingdings" w:hAnsi="Wingdings" w:hint="default"/>
      </w:rPr>
    </w:lvl>
    <w:lvl w:ilvl="3" w:tplc="FFFFFFFF" w:tentative="1">
      <w:start w:val="1"/>
      <w:numFmt w:val="bullet"/>
      <w:lvlText w:val=""/>
      <w:lvlJc w:val="left"/>
      <w:pPr>
        <w:ind w:left="5367" w:hanging="360"/>
      </w:pPr>
      <w:rPr>
        <w:rFonts w:ascii="Symbol" w:hAnsi="Symbol" w:hint="default"/>
      </w:rPr>
    </w:lvl>
    <w:lvl w:ilvl="4" w:tplc="FFFFFFFF" w:tentative="1">
      <w:start w:val="1"/>
      <w:numFmt w:val="bullet"/>
      <w:lvlText w:val="o"/>
      <w:lvlJc w:val="left"/>
      <w:pPr>
        <w:ind w:left="6087" w:hanging="360"/>
      </w:pPr>
      <w:rPr>
        <w:rFonts w:ascii="Courier New" w:hAnsi="Courier New" w:cs="Courier New" w:hint="default"/>
      </w:rPr>
    </w:lvl>
    <w:lvl w:ilvl="5" w:tplc="FFFFFFFF" w:tentative="1">
      <w:start w:val="1"/>
      <w:numFmt w:val="bullet"/>
      <w:lvlText w:val=""/>
      <w:lvlJc w:val="left"/>
      <w:pPr>
        <w:ind w:left="6807" w:hanging="360"/>
      </w:pPr>
      <w:rPr>
        <w:rFonts w:ascii="Wingdings" w:hAnsi="Wingdings" w:hint="default"/>
      </w:rPr>
    </w:lvl>
    <w:lvl w:ilvl="6" w:tplc="FFFFFFFF" w:tentative="1">
      <w:start w:val="1"/>
      <w:numFmt w:val="bullet"/>
      <w:lvlText w:val=""/>
      <w:lvlJc w:val="left"/>
      <w:pPr>
        <w:ind w:left="7527" w:hanging="360"/>
      </w:pPr>
      <w:rPr>
        <w:rFonts w:ascii="Symbol" w:hAnsi="Symbol" w:hint="default"/>
      </w:rPr>
    </w:lvl>
    <w:lvl w:ilvl="7" w:tplc="FFFFFFFF" w:tentative="1">
      <w:start w:val="1"/>
      <w:numFmt w:val="bullet"/>
      <w:lvlText w:val="o"/>
      <w:lvlJc w:val="left"/>
      <w:pPr>
        <w:ind w:left="8247" w:hanging="360"/>
      </w:pPr>
      <w:rPr>
        <w:rFonts w:ascii="Courier New" w:hAnsi="Courier New" w:cs="Courier New" w:hint="default"/>
      </w:rPr>
    </w:lvl>
    <w:lvl w:ilvl="8" w:tplc="FFFFFFFF" w:tentative="1">
      <w:start w:val="1"/>
      <w:numFmt w:val="bullet"/>
      <w:lvlText w:val=""/>
      <w:lvlJc w:val="left"/>
      <w:pPr>
        <w:ind w:left="8967" w:hanging="360"/>
      </w:pPr>
      <w:rPr>
        <w:rFonts w:ascii="Wingdings" w:hAnsi="Wingdings" w:hint="default"/>
      </w:rPr>
    </w:lvl>
  </w:abstractNum>
  <w:abstractNum w:abstractNumId="52" w15:restartNumberingAfterBreak="0">
    <w:nsid w:val="77C879A4"/>
    <w:multiLevelType w:val="hybridMultilevel"/>
    <w:tmpl w:val="3968A688"/>
    <w:lvl w:ilvl="0" w:tplc="9D9C13BE">
      <w:start w:val="1"/>
      <w:numFmt w:val="bullet"/>
      <w:lvlText w:val=""/>
      <w:lvlJc w:val="left"/>
      <w:pPr>
        <w:ind w:left="2880" w:hanging="360"/>
      </w:pPr>
      <w:rPr>
        <w:rFonts w:ascii="Wingdings" w:hAnsi="Wingdings" w:hint="default"/>
        <w:color w:val="2F5496" w:themeColor="accent1" w:themeShade="BF"/>
        <w:sz w:val="24"/>
        <w:u w:color="323E4F" w:themeColor="text2" w:themeShade="BF"/>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3" w15:restartNumberingAfterBreak="0">
    <w:nsid w:val="792B2B51"/>
    <w:multiLevelType w:val="hybridMultilevel"/>
    <w:tmpl w:val="188E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894167"/>
    <w:multiLevelType w:val="hybridMultilevel"/>
    <w:tmpl w:val="B5BC8976"/>
    <w:lvl w:ilvl="0" w:tplc="B7D87C02">
      <w:start w:val="1"/>
      <w:numFmt w:val="bullet"/>
      <w:lvlText w:val="■"/>
      <w:lvlJc w:val="left"/>
      <w:pPr>
        <w:ind w:left="2944" w:hanging="360"/>
      </w:pPr>
      <w:rPr>
        <w:rFonts w:ascii="STZhongsong" w:eastAsia="STZhongsong" w:hAnsi="STZhongsong" w:hint="eastAsia"/>
        <w:color w:val="2F5496" w:themeColor="accent1" w:themeShade="BF"/>
        <w:sz w:val="16"/>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num w:numId="1" w16cid:durableId="460460613">
    <w:abstractNumId w:val="9"/>
  </w:num>
  <w:num w:numId="2" w16cid:durableId="641618703">
    <w:abstractNumId w:val="22"/>
  </w:num>
  <w:num w:numId="3" w16cid:durableId="2069300005">
    <w:abstractNumId w:val="45"/>
  </w:num>
  <w:num w:numId="4" w16cid:durableId="1236090177">
    <w:abstractNumId w:val="15"/>
  </w:num>
  <w:num w:numId="5" w16cid:durableId="751005164">
    <w:abstractNumId w:val="23"/>
  </w:num>
  <w:num w:numId="6" w16cid:durableId="1466459708">
    <w:abstractNumId w:val="44"/>
  </w:num>
  <w:num w:numId="7" w16cid:durableId="1979139954">
    <w:abstractNumId w:val="7"/>
  </w:num>
  <w:num w:numId="8" w16cid:durableId="790396663">
    <w:abstractNumId w:val="35"/>
  </w:num>
  <w:num w:numId="9" w16cid:durableId="762528614">
    <w:abstractNumId w:val="6"/>
  </w:num>
  <w:num w:numId="10" w16cid:durableId="1903100238">
    <w:abstractNumId w:val="12"/>
  </w:num>
  <w:num w:numId="11" w16cid:durableId="757137671">
    <w:abstractNumId w:val="38"/>
  </w:num>
  <w:num w:numId="12" w16cid:durableId="585651907">
    <w:abstractNumId w:val="33"/>
  </w:num>
  <w:num w:numId="13" w16cid:durableId="1186672232">
    <w:abstractNumId w:val="39"/>
  </w:num>
  <w:num w:numId="14" w16cid:durableId="244146781">
    <w:abstractNumId w:val="54"/>
  </w:num>
  <w:num w:numId="15" w16cid:durableId="1724013593">
    <w:abstractNumId w:val="0"/>
  </w:num>
  <w:num w:numId="16" w16cid:durableId="527262568">
    <w:abstractNumId w:val="16"/>
  </w:num>
  <w:num w:numId="17" w16cid:durableId="1382167428">
    <w:abstractNumId w:val="27"/>
  </w:num>
  <w:num w:numId="18" w16cid:durableId="407919669">
    <w:abstractNumId w:val="47"/>
  </w:num>
  <w:num w:numId="19" w16cid:durableId="768088277">
    <w:abstractNumId w:val="37"/>
  </w:num>
  <w:num w:numId="20" w16cid:durableId="1370259351">
    <w:abstractNumId w:val="48"/>
  </w:num>
  <w:num w:numId="21" w16cid:durableId="508449142">
    <w:abstractNumId w:val="31"/>
  </w:num>
  <w:num w:numId="22" w16cid:durableId="1896968592">
    <w:abstractNumId w:val="25"/>
  </w:num>
  <w:num w:numId="23" w16cid:durableId="1696081423">
    <w:abstractNumId w:val="34"/>
  </w:num>
  <w:num w:numId="24" w16cid:durableId="1144464201">
    <w:abstractNumId w:val="50"/>
  </w:num>
  <w:num w:numId="25" w16cid:durableId="821580150">
    <w:abstractNumId w:val="46"/>
  </w:num>
  <w:num w:numId="26" w16cid:durableId="2005669932">
    <w:abstractNumId w:val="2"/>
  </w:num>
  <w:num w:numId="27" w16cid:durableId="81805352">
    <w:abstractNumId w:val="11"/>
  </w:num>
  <w:num w:numId="28" w16cid:durableId="765078536">
    <w:abstractNumId w:val="52"/>
  </w:num>
  <w:num w:numId="29" w16cid:durableId="1509636413">
    <w:abstractNumId w:val="49"/>
  </w:num>
  <w:num w:numId="30" w16cid:durableId="1892765158">
    <w:abstractNumId w:val="24"/>
  </w:num>
  <w:num w:numId="31" w16cid:durableId="1373072376">
    <w:abstractNumId w:val="43"/>
  </w:num>
  <w:num w:numId="32" w16cid:durableId="1670983503">
    <w:abstractNumId w:val="19"/>
  </w:num>
  <w:num w:numId="33" w16cid:durableId="1544750629">
    <w:abstractNumId w:val="41"/>
  </w:num>
  <w:num w:numId="34" w16cid:durableId="1001930400">
    <w:abstractNumId w:val="30"/>
  </w:num>
  <w:num w:numId="35" w16cid:durableId="724642931">
    <w:abstractNumId w:val="53"/>
  </w:num>
  <w:num w:numId="36" w16cid:durableId="1300460295">
    <w:abstractNumId w:val="17"/>
  </w:num>
  <w:num w:numId="37" w16cid:durableId="488785502">
    <w:abstractNumId w:val="36"/>
  </w:num>
  <w:num w:numId="38" w16cid:durableId="118494130">
    <w:abstractNumId w:val="14"/>
  </w:num>
  <w:num w:numId="39" w16cid:durableId="2131851581">
    <w:abstractNumId w:val="3"/>
  </w:num>
  <w:num w:numId="40" w16cid:durableId="2011447426">
    <w:abstractNumId w:val="13"/>
  </w:num>
  <w:num w:numId="41" w16cid:durableId="849491481">
    <w:abstractNumId w:val="5"/>
  </w:num>
  <w:num w:numId="42" w16cid:durableId="855654369">
    <w:abstractNumId w:val="26"/>
  </w:num>
  <w:num w:numId="43" w16cid:durableId="861818696">
    <w:abstractNumId w:val="51"/>
  </w:num>
  <w:num w:numId="44" w16cid:durableId="744304644">
    <w:abstractNumId w:val="18"/>
  </w:num>
  <w:num w:numId="45" w16cid:durableId="838236840">
    <w:abstractNumId w:val="8"/>
  </w:num>
  <w:num w:numId="46" w16cid:durableId="1413547358">
    <w:abstractNumId w:val="40"/>
  </w:num>
  <w:num w:numId="47" w16cid:durableId="1269391341">
    <w:abstractNumId w:val="4"/>
  </w:num>
  <w:num w:numId="48" w16cid:durableId="1105155558">
    <w:abstractNumId w:val="1"/>
  </w:num>
  <w:num w:numId="49" w16cid:durableId="228615318">
    <w:abstractNumId w:val="10"/>
  </w:num>
  <w:num w:numId="50" w16cid:durableId="239757914">
    <w:abstractNumId w:val="42"/>
  </w:num>
  <w:num w:numId="51" w16cid:durableId="1502819982">
    <w:abstractNumId w:val="21"/>
  </w:num>
  <w:num w:numId="52" w16cid:durableId="1949510536">
    <w:abstractNumId w:val="29"/>
  </w:num>
  <w:num w:numId="53" w16cid:durableId="153691760">
    <w:abstractNumId w:val="28"/>
  </w:num>
  <w:num w:numId="54" w16cid:durableId="1247571032">
    <w:abstractNumId w:val="20"/>
  </w:num>
  <w:num w:numId="55" w16cid:durableId="11625478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A9D"/>
    <w:rsid w:val="00000BD0"/>
    <w:rsid w:val="00001982"/>
    <w:rsid w:val="000204C3"/>
    <w:rsid w:val="00022E95"/>
    <w:rsid w:val="00047072"/>
    <w:rsid w:val="000611F0"/>
    <w:rsid w:val="00077BDD"/>
    <w:rsid w:val="00093F52"/>
    <w:rsid w:val="000A389E"/>
    <w:rsid w:val="000A455B"/>
    <w:rsid w:val="000C474C"/>
    <w:rsid w:val="000C75A1"/>
    <w:rsid w:val="000D1B69"/>
    <w:rsid w:val="000F0863"/>
    <w:rsid w:val="000F1B4E"/>
    <w:rsid w:val="000F529B"/>
    <w:rsid w:val="00105CF7"/>
    <w:rsid w:val="00111E5A"/>
    <w:rsid w:val="00113669"/>
    <w:rsid w:val="00127232"/>
    <w:rsid w:val="0012765B"/>
    <w:rsid w:val="00146B4D"/>
    <w:rsid w:val="00157953"/>
    <w:rsid w:val="00162B40"/>
    <w:rsid w:val="001661DE"/>
    <w:rsid w:val="00166D1D"/>
    <w:rsid w:val="001862AF"/>
    <w:rsid w:val="001910C3"/>
    <w:rsid w:val="00192889"/>
    <w:rsid w:val="00195120"/>
    <w:rsid w:val="00195F7D"/>
    <w:rsid w:val="001A0D85"/>
    <w:rsid w:val="001B00C6"/>
    <w:rsid w:val="001C0406"/>
    <w:rsid w:val="001E3322"/>
    <w:rsid w:val="002106DD"/>
    <w:rsid w:val="00223A42"/>
    <w:rsid w:val="00254A5C"/>
    <w:rsid w:val="00256FD9"/>
    <w:rsid w:val="00257487"/>
    <w:rsid w:val="0026279C"/>
    <w:rsid w:val="0026477B"/>
    <w:rsid w:val="00264CD2"/>
    <w:rsid w:val="002761BB"/>
    <w:rsid w:val="00280B84"/>
    <w:rsid w:val="00286511"/>
    <w:rsid w:val="0029174C"/>
    <w:rsid w:val="00295400"/>
    <w:rsid w:val="002A76A5"/>
    <w:rsid w:val="002B6033"/>
    <w:rsid w:val="002B7761"/>
    <w:rsid w:val="002C1847"/>
    <w:rsid w:val="002D0C07"/>
    <w:rsid w:val="002D3267"/>
    <w:rsid w:val="002E5DC5"/>
    <w:rsid w:val="002E6AA6"/>
    <w:rsid w:val="002E74CE"/>
    <w:rsid w:val="002F67DC"/>
    <w:rsid w:val="003129C5"/>
    <w:rsid w:val="00312D63"/>
    <w:rsid w:val="00313006"/>
    <w:rsid w:val="003367D6"/>
    <w:rsid w:val="00344B15"/>
    <w:rsid w:val="003649AC"/>
    <w:rsid w:val="00372820"/>
    <w:rsid w:val="0037291E"/>
    <w:rsid w:val="00386C8E"/>
    <w:rsid w:val="00396608"/>
    <w:rsid w:val="00397440"/>
    <w:rsid w:val="003E2FA6"/>
    <w:rsid w:val="003F3FE2"/>
    <w:rsid w:val="00400396"/>
    <w:rsid w:val="00402C22"/>
    <w:rsid w:val="00431166"/>
    <w:rsid w:val="00441896"/>
    <w:rsid w:val="00442CC1"/>
    <w:rsid w:val="00446DF0"/>
    <w:rsid w:val="00454192"/>
    <w:rsid w:val="0046051A"/>
    <w:rsid w:val="0049405A"/>
    <w:rsid w:val="004B0090"/>
    <w:rsid w:val="004B607F"/>
    <w:rsid w:val="004C24DF"/>
    <w:rsid w:val="004D78E4"/>
    <w:rsid w:val="004E4CA2"/>
    <w:rsid w:val="004E68D7"/>
    <w:rsid w:val="00504B79"/>
    <w:rsid w:val="0051795A"/>
    <w:rsid w:val="0052020A"/>
    <w:rsid w:val="00526CD0"/>
    <w:rsid w:val="00530A98"/>
    <w:rsid w:val="0053456F"/>
    <w:rsid w:val="005355FB"/>
    <w:rsid w:val="00557A22"/>
    <w:rsid w:val="00562F31"/>
    <w:rsid w:val="00565ED1"/>
    <w:rsid w:val="00596817"/>
    <w:rsid w:val="005C26EA"/>
    <w:rsid w:val="005E66A5"/>
    <w:rsid w:val="005F0B55"/>
    <w:rsid w:val="00600B14"/>
    <w:rsid w:val="00602BAC"/>
    <w:rsid w:val="0063232F"/>
    <w:rsid w:val="00642ED0"/>
    <w:rsid w:val="0065039C"/>
    <w:rsid w:val="00657E22"/>
    <w:rsid w:val="00684CC2"/>
    <w:rsid w:val="006A2F0E"/>
    <w:rsid w:val="006A447B"/>
    <w:rsid w:val="006B075B"/>
    <w:rsid w:val="006C244A"/>
    <w:rsid w:val="006C7BEF"/>
    <w:rsid w:val="006D2448"/>
    <w:rsid w:val="006E5FE2"/>
    <w:rsid w:val="006F52CF"/>
    <w:rsid w:val="0070640B"/>
    <w:rsid w:val="0071557C"/>
    <w:rsid w:val="00716549"/>
    <w:rsid w:val="00720DCC"/>
    <w:rsid w:val="00731CCB"/>
    <w:rsid w:val="00757042"/>
    <w:rsid w:val="00760AF1"/>
    <w:rsid w:val="0076102A"/>
    <w:rsid w:val="00777130"/>
    <w:rsid w:val="00785A60"/>
    <w:rsid w:val="007B1821"/>
    <w:rsid w:val="007B1B8D"/>
    <w:rsid w:val="007B6A3E"/>
    <w:rsid w:val="007C16C9"/>
    <w:rsid w:val="007D4BDC"/>
    <w:rsid w:val="00800D69"/>
    <w:rsid w:val="0080630C"/>
    <w:rsid w:val="00813BEC"/>
    <w:rsid w:val="00820850"/>
    <w:rsid w:val="00827979"/>
    <w:rsid w:val="00843153"/>
    <w:rsid w:val="008A5879"/>
    <w:rsid w:val="008C7089"/>
    <w:rsid w:val="008F04DB"/>
    <w:rsid w:val="008F2DE0"/>
    <w:rsid w:val="008F5F97"/>
    <w:rsid w:val="008F7A5E"/>
    <w:rsid w:val="009061E7"/>
    <w:rsid w:val="00925454"/>
    <w:rsid w:val="009316F7"/>
    <w:rsid w:val="009404D6"/>
    <w:rsid w:val="00957034"/>
    <w:rsid w:val="0096060C"/>
    <w:rsid w:val="00965939"/>
    <w:rsid w:val="00966AA1"/>
    <w:rsid w:val="00977092"/>
    <w:rsid w:val="009A23F8"/>
    <w:rsid w:val="009B22D5"/>
    <w:rsid w:val="009B433C"/>
    <w:rsid w:val="009C3D86"/>
    <w:rsid w:val="009C5695"/>
    <w:rsid w:val="00A01168"/>
    <w:rsid w:val="00A11B34"/>
    <w:rsid w:val="00A132B3"/>
    <w:rsid w:val="00A15905"/>
    <w:rsid w:val="00A443B8"/>
    <w:rsid w:val="00A516DC"/>
    <w:rsid w:val="00A5423D"/>
    <w:rsid w:val="00AB1ED6"/>
    <w:rsid w:val="00AB5ABB"/>
    <w:rsid w:val="00AE02F1"/>
    <w:rsid w:val="00AE461B"/>
    <w:rsid w:val="00AE4A82"/>
    <w:rsid w:val="00AF0293"/>
    <w:rsid w:val="00AF458D"/>
    <w:rsid w:val="00B05A85"/>
    <w:rsid w:val="00B224CC"/>
    <w:rsid w:val="00B43A68"/>
    <w:rsid w:val="00B46136"/>
    <w:rsid w:val="00B62B3D"/>
    <w:rsid w:val="00B64B0F"/>
    <w:rsid w:val="00B66109"/>
    <w:rsid w:val="00B666F9"/>
    <w:rsid w:val="00B7643F"/>
    <w:rsid w:val="00B8677F"/>
    <w:rsid w:val="00BB0114"/>
    <w:rsid w:val="00BD4011"/>
    <w:rsid w:val="00BE64F0"/>
    <w:rsid w:val="00BF0328"/>
    <w:rsid w:val="00C14A9D"/>
    <w:rsid w:val="00C33615"/>
    <w:rsid w:val="00C42600"/>
    <w:rsid w:val="00C4769E"/>
    <w:rsid w:val="00C64EDC"/>
    <w:rsid w:val="00C72A60"/>
    <w:rsid w:val="00C8196A"/>
    <w:rsid w:val="00C82005"/>
    <w:rsid w:val="00CB4679"/>
    <w:rsid w:val="00CC096C"/>
    <w:rsid w:val="00CC3FA4"/>
    <w:rsid w:val="00CC7B37"/>
    <w:rsid w:val="00CE59AE"/>
    <w:rsid w:val="00CF12B9"/>
    <w:rsid w:val="00CF2744"/>
    <w:rsid w:val="00CF5A5F"/>
    <w:rsid w:val="00D123B9"/>
    <w:rsid w:val="00D12412"/>
    <w:rsid w:val="00D13140"/>
    <w:rsid w:val="00D20E6A"/>
    <w:rsid w:val="00D26941"/>
    <w:rsid w:val="00D36299"/>
    <w:rsid w:val="00D97BF0"/>
    <w:rsid w:val="00DA4606"/>
    <w:rsid w:val="00DA67E6"/>
    <w:rsid w:val="00DB1A6E"/>
    <w:rsid w:val="00DD4E97"/>
    <w:rsid w:val="00DD6833"/>
    <w:rsid w:val="00DE2DCF"/>
    <w:rsid w:val="00DE4BE9"/>
    <w:rsid w:val="00DF000A"/>
    <w:rsid w:val="00E20E47"/>
    <w:rsid w:val="00E22D41"/>
    <w:rsid w:val="00E5758F"/>
    <w:rsid w:val="00E62506"/>
    <w:rsid w:val="00E73727"/>
    <w:rsid w:val="00E7664C"/>
    <w:rsid w:val="00E87386"/>
    <w:rsid w:val="00E9385D"/>
    <w:rsid w:val="00EB28E4"/>
    <w:rsid w:val="00EC13AF"/>
    <w:rsid w:val="00ED6747"/>
    <w:rsid w:val="00EE0E39"/>
    <w:rsid w:val="00EF40B7"/>
    <w:rsid w:val="00F20EB7"/>
    <w:rsid w:val="00F2129C"/>
    <w:rsid w:val="00F22EA5"/>
    <w:rsid w:val="00F2348B"/>
    <w:rsid w:val="00F55318"/>
    <w:rsid w:val="00F61842"/>
    <w:rsid w:val="00F77CA5"/>
    <w:rsid w:val="00FA5990"/>
    <w:rsid w:val="00FB7E06"/>
    <w:rsid w:val="00FC4AF1"/>
    <w:rsid w:val="00FE18C5"/>
    <w:rsid w:val="00FE7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FD76E"/>
  <w15:chartTrackingRefBased/>
  <w15:docId w15:val="{7F7C7506-8E4E-43D7-9569-FBDFABF6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0B7"/>
    <w:pPr>
      <w:spacing w:after="120" w:line="240" w:lineRule="auto"/>
    </w:pPr>
    <w:rPr>
      <w:rFonts w:ascii="Arial" w:hAnsi="Arial"/>
    </w:rPr>
  </w:style>
  <w:style w:type="paragraph" w:styleId="Heading1">
    <w:name w:val="heading 1"/>
    <w:basedOn w:val="Normal"/>
    <w:next w:val="Normal"/>
    <w:link w:val="Heading1Char"/>
    <w:uiPriority w:val="9"/>
    <w:qFormat/>
    <w:rsid w:val="00291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P&amp;P Sub-heading"/>
    <w:basedOn w:val="Normal"/>
    <w:link w:val="Heading2Char"/>
    <w:uiPriority w:val="9"/>
    <w:qFormat/>
    <w:rsid w:val="008A5879"/>
    <w:pPr>
      <w:ind w:left="1440"/>
      <w:outlineLvl w:val="1"/>
    </w:pPr>
    <w:rPr>
      <w:rFonts w:eastAsia="Times New Roman" w:cs="Times New Roman"/>
      <w:b/>
      <w:bCs/>
      <w:color w:val="2F5496" w:themeColor="accent1" w:themeShade="BF"/>
      <w:sz w:val="32"/>
      <w:szCs w:val="36"/>
      <w:lang w:eastAsia="en-GB"/>
    </w:rPr>
  </w:style>
  <w:style w:type="paragraph" w:styleId="Heading3">
    <w:name w:val="heading 3"/>
    <w:basedOn w:val="Normal"/>
    <w:next w:val="Normal"/>
    <w:link w:val="Heading3Char"/>
    <w:uiPriority w:val="9"/>
    <w:unhideWhenUsed/>
    <w:qFormat/>
    <w:rsid w:val="00FE18C5"/>
    <w:pPr>
      <w:keepNext/>
      <w:keepLines/>
      <w:outlineLvl w:val="2"/>
    </w:pPr>
    <w:rPr>
      <w:rFonts w:eastAsiaTheme="majorEastAsia" w:cstheme="majorBidi"/>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P&amp;P Sub-heading Char"/>
    <w:basedOn w:val="DefaultParagraphFont"/>
    <w:link w:val="Heading2"/>
    <w:uiPriority w:val="9"/>
    <w:rsid w:val="008A5879"/>
    <w:rPr>
      <w:rFonts w:ascii="Arial" w:eastAsia="Times New Roman" w:hAnsi="Arial" w:cs="Times New Roman"/>
      <w:b/>
      <w:bCs/>
      <w:color w:val="2F5496" w:themeColor="accent1" w:themeShade="BF"/>
      <w:sz w:val="32"/>
      <w:szCs w:val="36"/>
      <w:lang w:eastAsia="en-GB"/>
    </w:rPr>
  </w:style>
  <w:style w:type="character" w:customStyle="1" w:styleId="Heading3Char">
    <w:name w:val="Heading 3 Char"/>
    <w:basedOn w:val="DefaultParagraphFont"/>
    <w:link w:val="Heading3"/>
    <w:uiPriority w:val="9"/>
    <w:rsid w:val="00FE18C5"/>
    <w:rPr>
      <w:rFonts w:ascii="Arial" w:eastAsiaTheme="majorEastAsia" w:hAnsi="Arial" w:cstheme="majorBidi"/>
      <w:b/>
      <w:i/>
      <w:sz w:val="28"/>
      <w:szCs w:val="24"/>
      <w:lang w:eastAsia="en-GB"/>
    </w:rPr>
  </w:style>
  <w:style w:type="paragraph" w:customStyle="1" w:styleId="PPChapterheading">
    <w:name w:val="P&amp;P Chapter heading"/>
    <w:basedOn w:val="Normal"/>
    <w:link w:val="PPChapterheadingChar"/>
    <w:qFormat/>
    <w:rsid w:val="00AE4A82"/>
    <w:rPr>
      <w:rFonts w:eastAsia="Calibri" w:cs="Times New Roman"/>
      <w:b/>
      <w:color w:val="2F5496" w:themeColor="accent1" w:themeShade="BF"/>
      <w:sz w:val="44"/>
      <w:szCs w:val="44"/>
      <w:lang w:eastAsia="en-GB"/>
    </w:rPr>
  </w:style>
  <w:style w:type="character" w:customStyle="1" w:styleId="PPChapterheadingChar">
    <w:name w:val="P&amp;P Chapter heading Char"/>
    <w:link w:val="PPChapterheading"/>
    <w:rsid w:val="00AE4A82"/>
    <w:rPr>
      <w:rFonts w:ascii="Arial" w:eastAsia="Calibri" w:hAnsi="Arial" w:cs="Times New Roman"/>
      <w:b/>
      <w:color w:val="2F5496" w:themeColor="accent1" w:themeShade="BF"/>
      <w:sz w:val="44"/>
      <w:szCs w:val="44"/>
      <w:lang w:eastAsia="en-GB"/>
    </w:rPr>
  </w:style>
  <w:style w:type="paragraph" w:customStyle="1" w:styleId="PPSECTIONHEADING">
    <w:name w:val="P&amp;P SECTION HEADING"/>
    <w:basedOn w:val="PPChapterheading"/>
    <w:link w:val="PPSECTIONHEADINGChar"/>
    <w:autoRedefine/>
    <w:qFormat/>
    <w:rsid w:val="004E4CA2"/>
    <w:pPr>
      <w:spacing w:after="80" w:line="300" w:lineRule="auto"/>
    </w:pPr>
    <w:rPr>
      <w:iCs/>
      <w:sz w:val="22"/>
      <w:szCs w:val="22"/>
    </w:rPr>
  </w:style>
  <w:style w:type="character" w:customStyle="1" w:styleId="PPSECTIONHEADINGChar">
    <w:name w:val="P&amp;P SECTION HEADING Char"/>
    <w:link w:val="PPSECTIONHEADING"/>
    <w:rsid w:val="004E4CA2"/>
    <w:rPr>
      <w:rFonts w:ascii="Arial" w:eastAsia="Calibri" w:hAnsi="Arial" w:cs="Times New Roman"/>
      <w:b/>
      <w:iCs/>
      <w:color w:val="2F5496" w:themeColor="accent1" w:themeShade="BF"/>
      <w:lang w:eastAsia="en-GB"/>
    </w:rPr>
  </w:style>
  <w:style w:type="paragraph" w:styleId="ListParagraph">
    <w:name w:val="List Paragraph"/>
    <w:basedOn w:val="Normal"/>
    <w:link w:val="ListParagraphChar"/>
    <w:uiPriority w:val="34"/>
    <w:qFormat/>
    <w:rsid w:val="00F55318"/>
    <w:pPr>
      <w:ind w:left="720"/>
      <w:contextualSpacing/>
    </w:pPr>
  </w:style>
  <w:style w:type="character" w:styleId="Hyperlink">
    <w:name w:val="Hyperlink"/>
    <w:basedOn w:val="DefaultParagraphFont"/>
    <w:uiPriority w:val="99"/>
    <w:unhideWhenUsed/>
    <w:rsid w:val="00AE461B"/>
    <w:rPr>
      <w:color w:val="0000FF"/>
      <w:u w:val="single"/>
    </w:rPr>
  </w:style>
  <w:style w:type="character" w:styleId="UnresolvedMention">
    <w:name w:val="Unresolved Mention"/>
    <w:basedOn w:val="DefaultParagraphFont"/>
    <w:uiPriority w:val="99"/>
    <w:semiHidden/>
    <w:unhideWhenUsed/>
    <w:rsid w:val="00D20E6A"/>
    <w:rPr>
      <w:color w:val="605E5C"/>
      <w:shd w:val="clear" w:color="auto" w:fill="E1DFDD"/>
    </w:rPr>
  </w:style>
  <w:style w:type="paragraph" w:styleId="Header">
    <w:name w:val="header"/>
    <w:basedOn w:val="Normal"/>
    <w:link w:val="HeaderChar"/>
    <w:uiPriority w:val="99"/>
    <w:unhideWhenUsed/>
    <w:rsid w:val="00264CD2"/>
    <w:pPr>
      <w:tabs>
        <w:tab w:val="center" w:pos="4513"/>
        <w:tab w:val="right" w:pos="9026"/>
      </w:tabs>
      <w:spacing w:after="0"/>
    </w:pPr>
  </w:style>
  <w:style w:type="character" w:customStyle="1" w:styleId="HeaderChar">
    <w:name w:val="Header Char"/>
    <w:basedOn w:val="DefaultParagraphFont"/>
    <w:link w:val="Header"/>
    <w:uiPriority w:val="99"/>
    <w:rsid w:val="00264CD2"/>
    <w:rPr>
      <w:rFonts w:ascii="Arial" w:hAnsi="Arial"/>
    </w:rPr>
  </w:style>
  <w:style w:type="paragraph" w:styleId="Footer">
    <w:name w:val="footer"/>
    <w:basedOn w:val="Normal"/>
    <w:link w:val="FooterChar"/>
    <w:uiPriority w:val="99"/>
    <w:unhideWhenUsed/>
    <w:rsid w:val="00264CD2"/>
    <w:pPr>
      <w:tabs>
        <w:tab w:val="center" w:pos="4513"/>
        <w:tab w:val="right" w:pos="9026"/>
      </w:tabs>
      <w:spacing w:after="0"/>
    </w:pPr>
  </w:style>
  <w:style w:type="character" w:customStyle="1" w:styleId="FooterChar">
    <w:name w:val="Footer Char"/>
    <w:basedOn w:val="DefaultParagraphFont"/>
    <w:link w:val="Footer"/>
    <w:uiPriority w:val="99"/>
    <w:rsid w:val="00264CD2"/>
    <w:rPr>
      <w:rFonts w:ascii="Arial" w:hAnsi="Arial"/>
    </w:rPr>
  </w:style>
  <w:style w:type="paragraph" w:styleId="FootnoteText">
    <w:name w:val="footnote text"/>
    <w:aliases w:val="fn,Footnote,FOOTNOTES,Footnote Text Char1,Footnote Text Char1 Char,Footnote Text Char Char Char,Schriftart: 9 pt,Schriftart: 10 pt,Schriftart: 8 pt,WB-Fußnotentext,Footnotes,Footnote ak,Geneva 9,Font: Geneva 9,Boston 10,Boston 10 Car,Cha"/>
    <w:basedOn w:val="Normal"/>
    <w:link w:val="FootnoteTextChar"/>
    <w:uiPriority w:val="99"/>
    <w:unhideWhenUsed/>
    <w:rsid w:val="00A443B8"/>
    <w:pPr>
      <w:spacing w:after="0"/>
    </w:pPr>
    <w:rPr>
      <w:sz w:val="20"/>
      <w:szCs w:val="20"/>
    </w:rPr>
  </w:style>
  <w:style w:type="character" w:customStyle="1" w:styleId="FootnoteTextChar">
    <w:name w:val="Footnote Text Char"/>
    <w:aliases w:val="fn Char,Footnote Char,FOOTNOTES Char,Footnote Text Char1 Char1,Footnote Text Char1 Char Char,Footnote Text Char Char Char Char,Schriftart: 9 pt Char,Schriftart: 10 pt Char,Schriftart: 8 pt Char,WB-Fußnotentext Char,Footnotes Char"/>
    <w:basedOn w:val="DefaultParagraphFont"/>
    <w:link w:val="FootnoteText"/>
    <w:uiPriority w:val="99"/>
    <w:rsid w:val="00A443B8"/>
    <w:rPr>
      <w:rFonts w:ascii="Arial" w:hAnsi="Arial"/>
      <w:sz w:val="20"/>
      <w:szCs w:val="20"/>
    </w:rPr>
  </w:style>
  <w:style w:type="character" w:styleId="FootnoteReference">
    <w:name w:val="footnote reference"/>
    <w:basedOn w:val="DefaultParagraphFont"/>
    <w:uiPriority w:val="99"/>
    <w:unhideWhenUsed/>
    <w:rsid w:val="00A443B8"/>
    <w:rPr>
      <w:vertAlign w:val="superscript"/>
    </w:rPr>
  </w:style>
  <w:style w:type="character" w:styleId="FollowedHyperlink">
    <w:name w:val="FollowedHyperlink"/>
    <w:basedOn w:val="DefaultParagraphFont"/>
    <w:uiPriority w:val="99"/>
    <w:semiHidden/>
    <w:unhideWhenUsed/>
    <w:rsid w:val="00965939"/>
    <w:rPr>
      <w:color w:val="954F72" w:themeColor="followedHyperlink"/>
      <w:u w:val="single"/>
    </w:rPr>
  </w:style>
  <w:style w:type="character" w:customStyle="1" w:styleId="Heading1Char">
    <w:name w:val="Heading 1 Char"/>
    <w:basedOn w:val="DefaultParagraphFont"/>
    <w:link w:val="Heading1"/>
    <w:uiPriority w:val="9"/>
    <w:rsid w:val="0029174C"/>
    <w:rPr>
      <w:rFonts w:asciiTheme="majorHAnsi" w:eastAsiaTheme="majorEastAsia" w:hAnsiTheme="majorHAnsi" w:cstheme="majorBidi"/>
      <w:color w:val="2F5496" w:themeColor="accent1" w:themeShade="BF"/>
      <w:sz w:val="32"/>
      <w:szCs w:val="32"/>
    </w:rPr>
  </w:style>
  <w:style w:type="character" w:customStyle="1" w:styleId="PPsubheading">
    <w:name w:val="P&amp;P sub heading"/>
    <w:basedOn w:val="DefaultParagraphFont"/>
    <w:qFormat/>
    <w:rsid w:val="0029174C"/>
    <w:rPr>
      <w:rFonts w:ascii="Arial" w:eastAsia="Times New Roman" w:hAnsi="Arial" w:cs="Arial"/>
      <w:b/>
      <w:bCs/>
      <w:i/>
      <w:color w:val="auto"/>
      <w:sz w:val="28"/>
      <w:szCs w:val="28"/>
    </w:rPr>
  </w:style>
  <w:style w:type="character" w:customStyle="1" w:styleId="ListParagraphChar">
    <w:name w:val="List Paragraph Char"/>
    <w:basedOn w:val="DefaultParagraphFont"/>
    <w:link w:val="ListParagraph"/>
    <w:uiPriority w:val="34"/>
    <w:rsid w:val="0029174C"/>
    <w:rPr>
      <w:rFonts w:ascii="Arial" w:hAnsi="Arial"/>
    </w:rPr>
  </w:style>
  <w:style w:type="table" w:styleId="TableGrid">
    <w:name w:val="Table Grid"/>
    <w:basedOn w:val="TableNormal"/>
    <w:uiPriority w:val="39"/>
    <w:rsid w:val="002A7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11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mc@communityfoundation.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ny.chapman@durham.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A32C2-3B09-4EEB-B3B5-2735EB63C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Chapman</dc:creator>
  <cp:keywords/>
  <dc:description/>
  <cp:lastModifiedBy>A D Chapman</cp:lastModifiedBy>
  <cp:revision>12</cp:revision>
  <cp:lastPrinted>2026-01-12T19:11:00Z</cp:lastPrinted>
  <dcterms:created xsi:type="dcterms:W3CDTF">2026-01-12T10:31:00Z</dcterms:created>
  <dcterms:modified xsi:type="dcterms:W3CDTF">2026-01-13T09:48:00Z</dcterms:modified>
</cp:coreProperties>
</file>